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79A0C" w14:textId="77777777" w:rsidR="00F1692E" w:rsidRPr="00655BBC" w:rsidRDefault="00F1692E" w:rsidP="00A05A7A">
      <w:pPr>
        <w:pStyle w:val="TxBrc1"/>
        <w:keepNext/>
        <w:keepLines/>
        <w:pageBreakBefore/>
        <w:widowControl/>
        <w:spacing w:line="240" w:lineRule="auto"/>
        <w:rPr>
          <w:b/>
          <w:bCs/>
        </w:rPr>
      </w:pPr>
      <w:bookmarkStart w:id="0" w:name="_GoBack"/>
      <w:bookmarkEnd w:id="0"/>
      <w:r w:rsidRPr="00655BBC">
        <w:rPr>
          <w:b/>
          <w:bCs/>
        </w:rPr>
        <w:t>ORDINANCE NO.___________________</w:t>
      </w:r>
    </w:p>
    <w:p w14:paraId="16C79A0D" w14:textId="77777777" w:rsidR="00F1692E" w:rsidRPr="00655BBC" w:rsidRDefault="00F1692E">
      <w:pPr>
        <w:rPr>
          <w:b/>
          <w:bCs/>
        </w:rPr>
      </w:pPr>
    </w:p>
    <w:p w14:paraId="16C79A0E" w14:textId="6155231B" w:rsidR="00F1692E" w:rsidRPr="00655BBC" w:rsidRDefault="00CC6725">
      <w:pPr>
        <w:pStyle w:val="TxBrc1"/>
        <w:spacing w:line="240" w:lineRule="auto"/>
        <w:ind w:left="720" w:right="720"/>
        <w:jc w:val="both"/>
        <w:rPr>
          <w:b/>
          <w:bCs/>
        </w:rPr>
      </w:pPr>
      <w:r>
        <w:rPr>
          <w:b/>
          <w:bCs/>
        </w:rPr>
        <w:t>APPROVING AND ADOPTING THE FINAL SERVICE PLAN FOR</w:t>
      </w:r>
      <w:r w:rsidR="00F1692E" w:rsidRPr="00655BBC">
        <w:rPr>
          <w:b/>
          <w:bCs/>
        </w:rPr>
        <w:t xml:space="preserve"> PUBLIC IMPROVEMENT DISTRI</w:t>
      </w:r>
      <w:r w:rsidR="0083660E" w:rsidRPr="00655BBC">
        <w:rPr>
          <w:b/>
          <w:bCs/>
        </w:rPr>
        <w:t>CT NO. 1</w:t>
      </w:r>
      <w:r w:rsidR="005855C3" w:rsidRPr="00655BBC">
        <w:rPr>
          <w:b/>
          <w:bCs/>
        </w:rPr>
        <w:t>8</w:t>
      </w:r>
      <w:r w:rsidR="0083660E" w:rsidRPr="00655BBC">
        <w:rPr>
          <w:b/>
          <w:bCs/>
        </w:rPr>
        <w:t xml:space="preserve"> </w:t>
      </w:r>
      <w:r w:rsidR="0023401D" w:rsidRPr="00655BBC">
        <w:rPr>
          <w:b/>
          <w:bCs/>
        </w:rPr>
        <w:t xml:space="preserve">(THE TOURISM PID) </w:t>
      </w:r>
      <w:r>
        <w:rPr>
          <w:b/>
          <w:bCs/>
        </w:rPr>
        <w:t>FOR</w:t>
      </w:r>
      <w:r w:rsidR="0083660E" w:rsidRPr="00655BBC">
        <w:rPr>
          <w:b/>
          <w:bCs/>
        </w:rPr>
        <w:t xml:space="preserve"> FISCAL YEAR </w:t>
      </w:r>
      <w:r w:rsidR="00310E27" w:rsidRPr="00655BBC">
        <w:rPr>
          <w:b/>
          <w:bCs/>
        </w:rPr>
        <w:t>20</w:t>
      </w:r>
      <w:r w:rsidR="005E28CD" w:rsidRPr="00655BBC">
        <w:rPr>
          <w:b/>
          <w:bCs/>
        </w:rPr>
        <w:t>1</w:t>
      </w:r>
      <w:r w:rsidR="005855C3" w:rsidRPr="00655BBC">
        <w:rPr>
          <w:b/>
          <w:bCs/>
        </w:rPr>
        <w:t>8</w:t>
      </w:r>
      <w:r w:rsidR="00F1692E" w:rsidRPr="00655BBC">
        <w:rPr>
          <w:b/>
          <w:bCs/>
        </w:rPr>
        <w:t>;</w:t>
      </w:r>
      <w:r>
        <w:rPr>
          <w:b/>
          <w:bCs/>
        </w:rPr>
        <w:t xml:space="preserve"> LEVYING SPECIAL ASSESSMENTS ON PROPERTIES IN THE TOURISM PID TO PAY THE COSTS OF SERVICES PROVIDED IN ACCORDNACE WITH THE FINAL SERVICE PLAN;</w:t>
      </w:r>
      <w:r w:rsidR="00F1692E" w:rsidRPr="00655BBC">
        <w:rPr>
          <w:b/>
          <w:bCs/>
        </w:rPr>
        <w:t xml:space="preserve"> SETTING CHARGES AND LIENS AGAINST PROPERTY IN THE DISTRICT AND AGAINST THE OWNERS THEREOF; PROVIDING FOR THE COLLECTION OF </w:t>
      </w:r>
      <w:r>
        <w:rPr>
          <w:b/>
          <w:bCs/>
        </w:rPr>
        <w:t>THE SPECIAL ASSESSMENTS</w:t>
      </w:r>
      <w:r w:rsidR="00F1692E" w:rsidRPr="00655BBC">
        <w:rPr>
          <w:b/>
          <w:bCs/>
        </w:rPr>
        <w:t>; AND PROVIDING AN EFFECTIVE DATE.</w:t>
      </w:r>
    </w:p>
    <w:p w14:paraId="16C79A0F" w14:textId="77777777" w:rsidR="00F1692E" w:rsidRPr="00655BBC" w:rsidRDefault="00F1692E">
      <w:pPr>
        <w:tabs>
          <w:tab w:val="left" w:pos="702"/>
        </w:tabs>
        <w:rPr>
          <w:b/>
          <w:bCs/>
        </w:rPr>
      </w:pPr>
    </w:p>
    <w:p w14:paraId="38F87FE2" w14:textId="6168BF74" w:rsidR="0023401D" w:rsidRPr="00655BBC" w:rsidRDefault="00F1692E">
      <w:pPr>
        <w:pStyle w:val="TxBrp3"/>
        <w:spacing w:line="240" w:lineRule="auto"/>
        <w:jc w:val="both"/>
      </w:pPr>
      <w:proofErr w:type="gramStart"/>
      <w:r w:rsidRPr="00655BBC">
        <w:rPr>
          <w:b/>
          <w:bCs/>
        </w:rPr>
        <w:t xml:space="preserve">WHEREAS, </w:t>
      </w:r>
      <w:r w:rsidR="005855C3" w:rsidRPr="00655BBC">
        <w:rPr>
          <w:bCs/>
        </w:rPr>
        <w:t xml:space="preserve">on August 29, 2017 </w:t>
      </w:r>
      <w:r w:rsidRPr="00655BBC">
        <w:t xml:space="preserve">the City Council </w:t>
      </w:r>
      <w:r w:rsidR="0023401D" w:rsidRPr="00655BBC">
        <w:t>adopted Resolution No.</w:t>
      </w:r>
      <w:proofErr w:type="gramEnd"/>
      <w:r w:rsidR="0023401D" w:rsidRPr="00655BBC">
        <w:t xml:space="preserve"> </w:t>
      </w:r>
      <w:r w:rsidR="0023401D" w:rsidRPr="00655BBC">
        <w:rPr>
          <w:highlight w:val="yellow"/>
        </w:rPr>
        <w:t>_____</w:t>
      </w:r>
      <w:r w:rsidR="0023401D" w:rsidRPr="00655BBC">
        <w:t>-08-2017, establishing</w:t>
      </w:r>
      <w:r w:rsidR="005855C3" w:rsidRPr="00655BBC">
        <w:t xml:space="preserve"> Pu</w:t>
      </w:r>
      <w:r w:rsidR="0023401D" w:rsidRPr="00655BBC">
        <w:t xml:space="preserve">blic Improvement District No. 18 (Tourism PID) (the </w:t>
      </w:r>
      <w:r w:rsidR="0023401D" w:rsidRPr="00655BBC">
        <w:rPr>
          <w:b/>
        </w:rPr>
        <w:t>“PID”</w:t>
      </w:r>
      <w:r w:rsidR="0023401D" w:rsidRPr="00655BBC">
        <w:t>) in accordance with Section 372.</w:t>
      </w:r>
      <w:r w:rsidR="00B61ED6">
        <w:t>0</w:t>
      </w:r>
      <w:r w:rsidR="0023401D" w:rsidRPr="00655BBC">
        <w:t>035 and other applicable sections of Chapter 372, Texas Local Government Code and approving a service plan outlining proposed supplemental services to be provided for the special benefit of the properties located in the PID and the estimated costs of such services; and</w:t>
      </w:r>
    </w:p>
    <w:p w14:paraId="5CCD5A3D" w14:textId="77777777" w:rsidR="0023401D" w:rsidRPr="00655BBC" w:rsidRDefault="0023401D">
      <w:pPr>
        <w:pStyle w:val="TxBrp3"/>
        <w:spacing w:line="240" w:lineRule="auto"/>
        <w:jc w:val="both"/>
      </w:pPr>
    </w:p>
    <w:p w14:paraId="16C79A10" w14:textId="2AF812DD" w:rsidR="00F1692E" w:rsidRPr="00655BBC" w:rsidRDefault="0023401D">
      <w:pPr>
        <w:pStyle w:val="TxBrp3"/>
        <w:spacing w:line="240" w:lineRule="auto"/>
        <w:jc w:val="both"/>
      </w:pPr>
      <w:r w:rsidRPr="00655BBC">
        <w:rPr>
          <w:b/>
        </w:rPr>
        <w:t xml:space="preserve">WHEREAS, </w:t>
      </w:r>
      <w:r w:rsidR="00801807" w:rsidRPr="00655BBC">
        <w:t xml:space="preserve">under Section 372.013, Texas Local Government Code, the City Council </w:t>
      </w:r>
      <w:r w:rsidR="00CC6725" w:rsidRPr="00655BBC">
        <w:t xml:space="preserve">annually </w:t>
      </w:r>
      <w:r w:rsidR="00801807" w:rsidRPr="00655BBC">
        <w:t xml:space="preserve">must review and approve the annual budget for special, supplemental services to be provided in the PID (the </w:t>
      </w:r>
      <w:r w:rsidR="00801807" w:rsidRPr="00655BBC">
        <w:rPr>
          <w:b/>
        </w:rPr>
        <w:t>“Services”</w:t>
      </w:r>
      <w:r w:rsidR="00801807" w:rsidRPr="00655BBC">
        <w:t>) and to determine the amount of assessment that is to be levied against property in the PID in order to pay for the costs of such services; and</w:t>
      </w:r>
    </w:p>
    <w:p w14:paraId="16C79A11" w14:textId="77777777" w:rsidR="00F1692E" w:rsidRPr="00655BBC" w:rsidRDefault="00F1692E">
      <w:pPr>
        <w:tabs>
          <w:tab w:val="left" w:pos="759"/>
        </w:tabs>
        <w:jc w:val="both"/>
      </w:pPr>
    </w:p>
    <w:p w14:paraId="16C79A14" w14:textId="63055054" w:rsidR="00F1692E" w:rsidRPr="00655BBC" w:rsidRDefault="00F1692E" w:rsidP="0083660E">
      <w:pPr>
        <w:pStyle w:val="TxBrp3"/>
        <w:spacing w:line="240" w:lineRule="auto"/>
      </w:pPr>
      <w:r w:rsidRPr="00655BBC">
        <w:rPr>
          <w:b/>
          <w:bCs/>
        </w:rPr>
        <w:t xml:space="preserve">WHEREAS, </w:t>
      </w:r>
      <w:r w:rsidRPr="00655BBC">
        <w:t xml:space="preserve">the </w:t>
      </w:r>
      <w:r w:rsidR="00801807" w:rsidRPr="00655BBC">
        <w:t xml:space="preserve">Services </w:t>
      </w:r>
      <w:r w:rsidRPr="00655BBC">
        <w:t xml:space="preserve">to be provided in Fiscal Year </w:t>
      </w:r>
      <w:r w:rsidR="005E28CD" w:rsidRPr="00655BBC">
        <w:t>201</w:t>
      </w:r>
      <w:r w:rsidR="00801807" w:rsidRPr="00655BBC">
        <w:t>8</w:t>
      </w:r>
      <w:r w:rsidRPr="00655BBC">
        <w:t xml:space="preserve"> and their estimated costs are as follows:</w:t>
      </w:r>
    </w:p>
    <w:tbl>
      <w:tblPr>
        <w:tblW w:w="5536" w:type="dxa"/>
        <w:tblInd w:w="918" w:type="dxa"/>
        <w:tblLook w:val="04A0" w:firstRow="1" w:lastRow="0" w:firstColumn="1" w:lastColumn="0" w:noHBand="0" w:noVBand="1"/>
      </w:tblPr>
      <w:tblGrid>
        <w:gridCol w:w="3736"/>
        <w:gridCol w:w="1800"/>
      </w:tblGrid>
      <w:tr w:rsidR="002D3A95" w:rsidRPr="00817754" w14:paraId="16C79A18" w14:textId="77777777" w:rsidTr="00B80F62">
        <w:trPr>
          <w:trHeight w:val="300"/>
        </w:trPr>
        <w:tc>
          <w:tcPr>
            <w:tcW w:w="3736" w:type="dxa"/>
            <w:tcBorders>
              <w:top w:val="nil"/>
              <w:left w:val="nil"/>
              <w:bottom w:val="nil"/>
              <w:right w:val="nil"/>
            </w:tcBorders>
            <w:noWrap/>
            <w:vAlign w:val="bottom"/>
            <w:hideMark/>
          </w:tcPr>
          <w:p w14:paraId="27AADB43" w14:textId="77777777" w:rsidR="00801807" w:rsidRPr="00817754" w:rsidRDefault="00801807" w:rsidP="002D3A95">
            <w:pPr>
              <w:widowControl/>
              <w:autoSpaceDE/>
              <w:autoSpaceDN/>
              <w:rPr>
                <w:b/>
                <w:color w:val="000000"/>
                <w:highlight w:val="yellow"/>
              </w:rPr>
            </w:pPr>
          </w:p>
          <w:p w14:paraId="16C79A16" w14:textId="6026762D" w:rsidR="002D3A95" w:rsidRPr="00817754" w:rsidRDefault="00817754" w:rsidP="008F38D2">
            <w:pPr>
              <w:widowControl/>
              <w:autoSpaceDE/>
              <w:autoSpaceDN/>
              <w:rPr>
                <w:color w:val="000000"/>
                <w:highlight w:val="yellow"/>
              </w:rPr>
            </w:pPr>
            <w:r w:rsidRPr="00817754">
              <w:rPr>
                <w:color w:val="000000"/>
              </w:rPr>
              <w:t>Incentives &amp; Sales Efforts</w:t>
            </w:r>
          </w:p>
        </w:tc>
        <w:tc>
          <w:tcPr>
            <w:tcW w:w="1800" w:type="dxa"/>
            <w:tcBorders>
              <w:top w:val="nil"/>
              <w:left w:val="nil"/>
              <w:bottom w:val="nil"/>
              <w:right w:val="nil"/>
            </w:tcBorders>
            <w:noWrap/>
            <w:vAlign w:val="bottom"/>
            <w:hideMark/>
          </w:tcPr>
          <w:p w14:paraId="16C79A17" w14:textId="45A67A2F" w:rsidR="002D3A95" w:rsidRPr="00817754" w:rsidRDefault="00817754" w:rsidP="00A6334F">
            <w:pPr>
              <w:widowControl/>
              <w:autoSpaceDE/>
              <w:autoSpaceDN/>
              <w:jc w:val="right"/>
              <w:rPr>
                <w:color w:val="000000"/>
                <w:highlight w:val="yellow"/>
              </w:rPr>
            </w:pPr>
            <w:r w:rsidRPr="00817754">
              <w:rPr>
                <w:color w:val="000000"/>
              </w:rPr>
              <w:t>$1,474,744</w:t>
            </w:r>
          </w:p>
        </w:tc>
      </w:tr>
      <w:tr w:rsidR="002D3A95" w:rsidRPr="00817754" w14:paraId="16C79A1B" w14:textId="77777777" w:rsidTr="00B80F62">
        <w:trPr>
          <w:trHeight w:val="300"/>
        </w:trPr>
        <w:tc>
          <w:tcPr>
            <w:tcW w:w="3736" w:type="dxa"/>
            <w:tcBorders>
              <w:top w:val="nil"/>
              <w:left w:val="nil"/>
              <w:bottom w:val="nil"/>
              <w:right w:val="nil"/>
            </w:tcBorders>
            <w:noWrap/>
            <w:vAlign w:val="bottom"/>
            <w:hideMark/>
          </w:tcPr>
          <w:p w14:paraId="16C79A19" w14:textId="71081DD5" w:rsidR="002D3A95" w:rsidRPr="00817754" w:rsidRDefault="00817754" w:rsidP="002D3A95">
            <w:pPr>
              <w:widowControl/>
              <w:autoSpaceDE/>
              <w:autoSpaceDN/>
              <w:rPr>
                <w:color w:val="000000"/>
              </w:rPr>
            </w:pPr>
            <w:r w:rsidRPr="00817754">
              <w:rPr>
                <w:color w:val="000000"/>
              </w:rPr>
              <w:t>Marketing (Promotion/Advertising)</w:t>
            </w:r>
          </w:p>
        </w:tc>
        <w:tc>
          <w:tcPr>
            <w:tcW w:w="1800" w:type="dxa"/>
            <w:tcBorders>
              <w:top w:val="nil"/>
              <w:left w:val="nil"/>
              <w:bottom w:val="nil"/>
              <w:right w:val="nil"/>
            </w:tcBorders>
            <w:noWrap/>
            <w:vAlign w:val="bottom"/>
            <w:hideMark/>
          </w:tcPr>
          <w:p w14:paraId="16C79A1A" w14:textId="03396789" w:rsidR="002D3A95" w:rsidRPr="00817754" w:rsidRDefault="00817754" w:rsidP="00A6334F">
            <w:pPr>
              <w:widowControl/>
              <w:autoSpaceDE/>
              <w:autoSpaceDN/>
              <w:jc w:val="right"/>
              <w:rPr>
                <w:color w:val="000000"/>
                <w:highlight w:val="yellow"/>
              </w:rPr>
            </w:pPr>
            <w:r w:rsidRPr="00817754">
              <w:rPr>
                <w:color w:val="000000"/>
              </w:rPr>
              <w:t>$1,214,495</w:t>
            </w:r>
          </w:p>
        </w:tc>
      </w:tr>
      <w:tr w:rsidR="002D3A95" w:rsidRPr="00817754" w14:paraId="16C79A1E" w14:textId="77777777" w:rsidTr="00B80F62">
        <w:trPr>
          <w:trHeight w:val="300"/>
        </w:trPr>
        <w:tc>
          <w:tcPr>
            <w:tcW w:w="3736" w:type="dxa"/>
            <w:tcBorders>
              <w:top w:val="nil"/>
              <w:left w:val="nil"/>
              <w:bottom w:val="nil"/>
              <w:right w:val="nil"/>
            </w:tcBorders>
            <w:noWrap/>
            <w:vAlign w:val="bottom"/>
            <w:hideMark/>
          </w:tcPr>
          <w:p w14:paraId="16C79A1C" w14:textId="6F9EC5DB" w:rsidR="002D3A95" w:rsidRPr="00817754" w:rsidRDefault="00817754" w:rsidP="002D3A95">
            <w:pPr>
              <w:widowControl/>
              <w:autoSpaceDE/>
              <w:autoSpaceDN/>
              <w:rPr>
                <w:color w:val="000000"/>
              </w:rPr>
            </w:pPr>
            <w:r w:rsidRPr="00817754">
              <w:rPr>
                <w:color w:val="000000"/>
              </w:rPr>
              <w:t>Site Visits &amp; Familiarization Tours</w:t>
            </w:r>
          </w:p>
        </w:tc>
        <w:tc>
          <w:tcPr>
            <w:tcW w:w="1800" w:type="dxa"/>
            <w:tcBorders>
              <w:top w:val="nil"/>
              <w:left w:val="nil"/>
              <w:bottom w:val="nil"/>
              <w:right w:val="nil"/>
            </w:tcBorders>
            <w:noWrap/>
            <w:vAlign w:val="bottom"/>
            <w:hideMark/>
          </w:tcPr>
          <w:p w14:paraId="16C79A1D" w14:textId="5DE78FCA" w:rsidR="002D3A95" w:rsidRPr="00817754" w:rsidRDefault="00817754">
            <w:pPr>
              <w:widowControl/>
              <w:autoSpaceDE/>
              <w:autoSpaceDN/>
              <w:jc w:val="right"/>
              <w:rPr>
                <w:color w:val="000000"/>
              </w:rPr>
            </w:pPr>
            <w:r w:rsidRPr="00817754">
              <w:rPr>
                <w:color w:val="000000"/>
              </w:rPr>
              <w:t>$  346,99</w:t>
            </w:r>
            <w:r w:rsidR="009F2CF6">
              <w:rPr>
                <w:color w:val="000000"/>
              </w:rPr>
              <w:t>8</w:t>
            </w:r>
          </w:p>
        </w:tc>
      </w:tr>
      <w:tr w:rsidR="002D3A95" w:rsidRPr="00817754" w14:paraId="16C79A21" w14:textId="77777777" w:rsidTr="00B80F62">
        <w:trPr>
          <w:trHeight w:val="300"/>
        </w:trPr>
        <w:tc>
          <w:tcPr>
            <w:tcW w:w="3736" w:type="dxa"/>
            <w:tcBorders>
              <w:top w:val="nil"/>
              <w:left w:val="nil"/>
              <w:bottom w:val="nil"/>
              <w:right w:val="nil"/>
            </w:tcBorders>
            <w:noWrap/>
            <w:vAlign w:val="bottom"/>
            <w:hideMark/>
          </w:tcPr>
          <w:p w14:paraId="16C79A1F" w14:textId="2E5104EB" w:rsidR="002D3A95" w:rsidRPr="00817754" w:rsidRDefault="00817754" w:rsidP="002D3A95">
            <w:pPr>
              <w:widowControl/>
              <w:autoSpaceDE/>
              <w:autoSpaceDN/>
              <w:rPr>
                <w:color w:val="000000"/>
              </w:rPr>
            </w:pPr>
            <w:r w:rsidRPr="00817754">
              <w:rPr>
                <w:color w:val="000000"/>
              </w:rPr>
              <w:t>Event Funding Application Pool</w:t>
            </w:r>
          </w:p>
        </w:tc>
        <w:tc>
          <w:tcPr>
            <w:tcW w:w="1800" w:type="dxa"/>
            <w:tcBorders>
              <w:top w:val="nil"/>
              <w:left w:val="nil"/>
              <w:bottom w:val="nil"/>
              <w:right w:val="nil"/>
            </w:tcBorders>
            <w:noWrap/>
            <w:vAlign w:val="bottom"/>
            <w:hideMark/>
          </w:tcPr>
          <w:p w14:paraId="16C79A20" w14:textId="7EDDA124" w:rsidR="002D3A95" w:rsidRPr="00817754" w:rsidRDefault="00817754" w:rsidP="00A6334F">
            <w:pPr>
              <w:widowControl/>
              <w:autoSpaceDE/>
              <w:autoSpaceDN/>
              <w:jc w:val="right"/>
              <w:rPr>
                <w:color w:val="000000"/>
              </w:rPr>
            </w:pPr>
            <w:r w:rsidRPr="00817754">
              <w:rPr>
                <w:color w:val="000000"/>
              </w:rPr>
              <w:t>   $  260,249</w:t>
            </w:r>
          </w:p>
        </w:tc>
      </w:tr>
      <w:tr w:rsidR="002D3A95" w:rsidRPr="00817754" w14:paraId="16C79A24" w14:textId="77777777" w:rsidTr="00B80F62">
        <w:trPr>
          <w:trHeight w:val="300"/>
        </w:trPr>
        <w:tc>
          <w:tcPr>
            <w:tcW w:w="3736" w:type="dxa"/>
            <w:tcBorders>
              <w:top w:val="nil"/>
              <w:left w:val="nil"/>
              <w:bottom w:val="nil"/>
              <w:right w:val="nil"/>
            </w:tcBorders>
            <w:noWrap/>
            <w:vAlign w:val="bottom"/>
            <w:hideMark/>
          </w:tcPr>
          <w:p w14:paraId="16C79A22" w14:textId="6D028300" w:rsidR="002D3A95" w:rsidRPr="00817754" w:rsidRDefault="00817754" w:rsidP="002D3A95">
            <w:pPr>
              <w:widowControl/>
              <w:autoSpaceDE/>
              <w:autoSpaceDN/>
              <w:rPr>
                <w:color w:val="000000"/>
              </w:rPr>
            </w:pPr>
            <w:r w:rsidRPr="00817754">
              <w:rPr>
                <w:color w:val="000000"/>
              </w:rPr>
              <w:t>Operations/Research/Administration</w:t>
            </w:r>
          </w:p>
        </w:tc>
        <w:tc>
          <w:tcPr>
            <w:tcW w:w="1800" w:type="dxa"/>
            <w:tcBorders>
              <w:top w:val="nil"/>
              <w:left w:val="nil"/>
              <w:bottom w:val="nil"/>
              <w:right w:val="nil"/>
            </w:tcBorders>
            <w:noWrap/>
            <w:vAlign w:val="bottom"/>
            <w:hideMark/>
          </w:tcPr>
          <w:p w14:paraId="16C79A23" w14:textId="46C95DFA" w:rsidR="002D3A95" w:rsidRPr="00817754" w:rsidRDefault="00817754" w:rsidP="0056024F">
            <w:pPr>
              <w:widowControl/>
              <w:autoSpaceDE/>
              <w:autoSpaceDN/>
              <w:jc w:val="right"/>
              <w:rPr>
                <w:color w:val="000000"/>
              </w:rPr>
            </w:pPr>
            <w:r w:rsidRPr="00817754">
              <w:rPr>
                <w:color w:val="000000"/>
              </w:rPr>
              <w:t>$  </w:t>
            </w:r>
            <w:r w:rsidR="009F2CF6">
              <w:rPr>
                <w:color w:val="000000"/>
              </w:rPr>
              <w:t>15</w:t>
            </w:r>
            <w:r w:rsidR="0056024F">
              <w:rPr>
                <w:color w:val="000000"/>
              </w:rPr>
              <w:t>6</w:t>
            </w:r>
            <w:r w:rsidR="009F2CF6">
              <w:rPr>
                <w:color w:val="000000"/>
              </w:rPr>
              <w:t>,</w:t>
            </w:r>
            <w:r w:rsidR="0056024F">
              <w:rPr>
                <w:color w:val="000000"/>
              </w:rPr>
              <w:t>4</w:t>
            </w:r>
            <w:r w:rsidR="009F2CF6">
              <w:rPr>
                <w:color w:val="000000"/>
              </w:rPr>
              <w:t>99</w:t>
            </w:r>
          </w:p>
        </w:tc>
      </w:tr>
      <w:tr w:rsidR="005E28CD" w:rsidRPr="00817754" w14:paraId="16C79A27" w14:textId="77777777" w:rsidTr="00B80F62">
        <w:trPr>
          <w:trHeight w:val="300"/>
        </w:trPr>
        <w:tc>
          <w:tcPr>
            <w:tcW w:w="3736" w:type="dxa"/>
            <w:tcBorders>
              <w:top w:val="nil"/>
              <w:left w:val="nil"/>
              <w:bottom w:val="nil"/>
              <w:right w:val="nil"/>
            </w:tcBorders>
            <w:noWrap/>
            <w:vAlign w:val="bottom"/>
          </w:tcPr>
          <w:p w14:paraId="16C79A25" w14:textId="3AE709A2" w:rsidR="005E28CD" w:rsidRPr="00817754" w:rsidRDefault="00817754" w:rsidP="002D3A95">
            <w:pPr>
              <w:widowControl/>
              <w:autoSpaceDE/>
              <w:autoSpaceDN/>
              <w:rPr>
                <w:color w:val="000000"/>
              </w:rPr>
            </w:pPr>
            <w:r w:rsidRPr="00817754">
              <w:rPr>
                <w:color w:val="000000"/>
              </w:rPr>
              <w:t>One Time City Administrative Fee</w:t>
            </w:r>
          </w:p>
        </w:tc>
        <w:tc>
          <w:tcPr>
            <w:tcW w:w="1800" w:type="dxa"/>
            <w:tcBorders>
              <w:top w:val="nil"/>
              <w:left w:val="nil"/>
              <w:bottom w:val="nil"/>
              <w:right w:val="nil"/>
            </w:tcBorders>
            <w:noWrap/>
            <w:vAlign w:val="bottom"/>
          </w:tcPr>
          <w:p w14:paraId="16C79A26" w14:textId="154117DF" w:rsidR="005E28CD" w:rsidRPr="00817754" w:rsidRDefault="00817754" w:rsidP="0056024F">
            <w:pPr>
              <w:widowControl/>
              <w:autoSpaceDE/>
              <w:autoSpaceDN/>
              <w:jc w:val="right"/>
              <w:rPr>
                <w:color w:val="000000"/>
              </w:rPr>
            </w:pPr>
            <w:r w:rsidRPr="00817754">
              <w:rPr>
                <w:b/>
                <w:bCs/>
                <w:color w:val="000000"/>
              </w:rPr>
              <w:t>$  </w:t>
            </w:r>
            <w:r w:rsidRPr="00817754">
              <w:rPr>
                <w:bCs/>
                <w:color w:val="000000"/>
              </w:rPr>
              <w:t>17,</w:t>
            </w:r>
            <w:r w:rsidR="0056024F">
              <w:rPr>
                <w:bCs/>
                <w:color w:val="000000"/>
              </w:rPr>
              <w:t>0</w:t>
            </w:r>
            <w:r w:rsidR="009F2CF6">
              <w:rPr>
                <w:bCs/>
                <w:color w:val="000000"/>
              </w:rPr>
              <w:t>00</w:t>
            </w:r>
          </w:p>
        </w:tc>
      </w:tr>
      <w:tr w:rsidR="00817754" w:rsidRPr="00817754" w14:paraId="3512ADEF" w14:textId="77777777" w:rsidTr="00B80F62">
        <w:trPr>
          <w:trHeight w:val="300"/>
        </w:trPr>
        <w:tc>
          <w:tcPr>
            <w:tcW w:w="3736" w:type="dxa"/>
            <w:tcBorders>
              <w:top w:val="nil"/>
              <w:left w:val="nil"/>
              <w:bottom w:val="nil"/>
              <w:right w:val="nil"/>
            </w:tcBorders>
            <w:noWrap/>
            <w:vAlign w:val="bottom"/>
          </w:tcPr>
          <w:p w14:paraId="354FDBA3" w14:textId="3D327BA2" w:rsidR="00817754" w:rsidRPr="00033B09" w:rsidRDefault="00033B09" w:rsidP="00A42757">
            <w:pPr>
              <w:widowControl/>
              <w:autoSpaceDE/>
              <w:autoSpaceDN/>
              <w:rPr>
                <w:color w:val="000000"/>
                <w:highlight w:val="yellow"/>
                <w:u w:val="single"/>
              </w:rPr>
            </w:pPr>
            <w:r>
              <w:rPr>
                <w:color w:val="000000"/>
                <w:highlight w:val="yellow"/>
                <w:u w:val="single"/>
              </w:rPr>
              <w:t xml:space="preserve">   </w:t>
            </w:r>
          </w:p>
        </w:tc>
        <w:tc>
          <w:tcPr>
            <w:tcW w:w="1800" w:type="dxa"/>
            <w:tcBorders>
              <w:top w:val="nil"/>
              <w:left w:val="nil"/>
              <w:bottom w:val="nil"/>
              <w:right w:val="nil"/>
            </w:tcBorders>
            <w:noWrap/>
            <w:vAlign w:val="bottom"/>
          </w:tcPr>
          <w:p w14:paraId="53A9D30E" w14:textId="77777777" w:rsidR="00817754" w:rsidRPr="00817754" w:rsidRDefault="00817754" w:rsidP="00A42757">
            <w:pPr>
              <w:widowControl/>
              <w:autoSpaceDE/>
              <w:autoSpaceDN/>
              <w:jc w:val="right"/>
              <w:rPr>
                <w:color w:val="000000"/>
                <w:highlight w:val="yellow"/>
              </w:rPr>
            </w:pPr>
          </w:p>
        </w:tc>
      </w:tr>
      <w:tr w:rsidR="00817754" w:rsidRPr="00817754" w14:paraId="4CFC54F1" w14:textId="77777777" w:rsidTr="00B80F62">
        <w:trPr>
          <w:trHeight w:val="300"/>
        </w:trPr>
        <w:tc>
          <w:tcPr>
            <w:tcW w:w="3736" w:type="dxa"/>
            <w:tcBorders>
              <w:top w:val="nil"/>
              <w:left w:val="nil"/>
              <w:bottom w:val="nil"/>
              <w:right w:val="nil"/>
            </w:tcBorders>
            <w:noWrap/>
            <w:vAlign w:val="bottom"/>
          </w:tcPr>
          <w:p w14:paraId="76F6610C" w14:textId="2BA59C0C" w:rsidR="00817754" w:rsidRPr="00817754" w:rsidRDefault="00817754" w:rsidP="00D33418">
            <w:pPr>
              <w:widowControl/>
              <w:autoSpaceDE/>
              <w:autoSpaceDN/>
              <w:rPr>
                <w:color w:val="000000"/>
              </w:rPr>
            </w:pPr>
            <w:r w:rsidRPr="00817754">
              <w:rPr>
                <w:bCs/>
                <w:color w:val="000000"/>
              </w:rPr>
              <w:t>Total Budget Expenses</w:t>
            </w:r>
          </w:p>
        </w:tc>
        <w:tc>
          <w:tcPr>
            <w:tcW w:w="1800" w:type="dxa"/>
            <w:tcBorders>
              <w:top w:val="nil"/>
              <w:left w:val="nil"/>
              <w:bottom w:val="nil"/>
              <w:right w:val="nil"/>
            </w:tcBorders>
            <w:noWrap/>
            <w:vAlign w:val="bottom"/>
          </w:tcPr>
          <w:p w14:paraId="64F603CA" w14:textId="3E635F26" w:rsidR="00817754" w:rsidRPr="00817754" w:rsidRDefault="00817754">
            <w:pPr>
              <w:widowControl/>
              <w:autoSpaceDE/>
              <w:autoSpaceDN/>
              <w:jc w:val="right"/>
              <w:rPr>
                <w:color w:val="000000"/>
              </w:rPr>
            </w:pPr>
            <w:r w:rsidRPr="00817754">
              <w:rPr>
                <w:bCs/>
                <w:color w:val="000000"/>
              </w:rPr>
              <w:t>$3,469,98</w:t>
            </w:r>
            <w:r w:rsidR="009F2CF6">
              <w:rPr>
                <w:bCs/>
                <w:color w:val="000000"/>
              </w:rPr>
              <w:t>5</w:t>
            </w:r>
          </w:p>
        </w:tc>
      </w:tr>
      <w:tr w:rsidR="00817754" w:rsidRPr="00817754" w14:paraId="75BB7747" w14:textId="77777777" w:rsidTr="00B80F62">
        <w:trPr>
          <w:trHeight w:val="300"/>
        </w:trPr>
        <w:tc>
          <w:tcPr>
            <w:tcW w:w="3736" w:type="dxa"/>
            <w:tcBorders>
              <w:top w:val="nil"/>
              <w:left w:val="nil"/>
              <w:right w:val="nil"/>
            </w:tcBorders>
            <w:noWrap/>
            <w:vAlign w:val="bottom"/>
          </w:tcPr>
          <w:p w14:paraId="5EE6B485" w14:textId="044C6265" w:rsidR="00817754" w:rsidRPr="00817754" w:rsidRDefault="00817754" w:rsidP="00D47E11">
            <w:pPr>
              <w:widowControl/>
              <w:autoSpaceDE/>
              <w:autoSpaceDN/>
              <w:rPr>
                <w:color w:val="000000"/>
              </w:rPr>
            </w:pPr>
            <w:r w:rsidRPr="00817754">
              <w:rPr>
                <w:color w:val="000000"/>
              </w:rPr>
              <w:t>Estimated Operating Reserve</w:t>
            </w:r>
          </w:p>
        </w:tc>
        <w:tc>
          <w:tcPr>
            <w:tcW w:w="1800" w:type="dxa"/>
            <w:tcBorders>
              <w:top w:val="nil"/>
              <w:left w:val="nil"/>
              <w:right w:val="nil"/>
            </w:tcBorders>
            <w:noWrap/>
            <w:vAlign w:val="bottom"/>
          </w:tcPr>
          <w:p w14:paraId="53A82C61" w14:textId="01677F9B" w:rsidR="00817754" w:rsidRPr="00817754" w:rsidRDefault="00817754" w:rsidP="00D47E11">
            <w:pPr>
              <w:widowControl/>
              <w:autoSpaceDE/>
              <w:autoSpaceDN/>
              <w:jc w:val="right"/>
              <w:rPr>
                <w:color w:val="000000"/>
              </w:rPr>
            </w:pPr>
            <w:r w:rsidRPr="00817754">
              <w:rPr>
                <w:color w:val="000000"/>
              </w:rPr>
              <w:t>$0</w:t>
            </w:r>
          </w:p>
        </w:tc>
      </w:tr>
      <w:tr w:rsidR="00817754" w:rsidRPr="00B80F62" w14:paraId="16C79A2A" w14:textId="77777777" w:rsidTr="00B80F62">
        <w:trPr>
          <w:trHeight w:val="300"/>
        </w:trPr>
        <w:tc>
          <w:tcPr>
            <w:tcW w:w="3736" w:type="dxa"/>
            <w:tcBorders>
              <w:top w:val="nil"/>
              <w:left w:val="nil"/>
              <w:bottom w:val="nil"/>
              <w:right w:val="nil"/>
            </w:tcBorders>
            <w:noWrap/>
            <w:vAlign w:val="bottom"/>
          </w:tcPr>
          <w:p w14:paraId="16C79A28" w14:textId="7A9718A6" w:rsidR="00817754" w:rsidRPr="00817754" w:rsidRDefault="00817754" w:rsidP="002D3A95">
            <w:pPr>
              <w:widowControl/>
              <w:autoSpaceDE/>
              <w:autoSpaceDN/>
              <w:rPr>
                <w:b/>
                <w:color w:val="000000"/>
              </w:rPr>
            </w:pPr>
            <w:r w:rsidRPr="00817754">
              <w:rPr>
                <w:b/>
                <w:color w:val="000000"/>
              </w:rPr>
              <w:t>Total Expenses</w:t>
            </w:r>
          </w:p>
        </w:tc>
        <w:tc>
          <w:tcPr>
            <w:tcW w:w="1800" w:type="dxa"/>
            <w:tcBorders>
              <w:top w:val="nil"/>
              <w:left w:val="nil"/>
              <w:bottom w:val="nil"/>
              <w:right w:val="nil"/>
            </w:tcBorders>
            <w:noWrap/>
            <w:vAlign w:val="bottom"/>
          </w:tcPr>
          <w:p w14:paraId="16C79A29" w14:textId="05460402" w:rsidR="00817754" w:rsidRPr="00B80F62" w:rsidRDefault="00817754">
            <w:pPr>
              <w:widowControl/>
              <w:autoSpaceDE/>
              <w:autoSpaceDN/>
              <w:jc w:val="right"/>
              <w:rPr>
                <w:b/>
                <w:color w:val="000000"/>
                <w:highlight w:val="yellow"/>
              </w:rPr>
            </w:pPr>
            <w:r w:rsidRPr="00C414A8">
              <w:rPr>
                <w:b/>
                <w:color w:val="000000"/>
              </w:rPr>
              <w:t>$3,469,98</w:t>
            </w:r>
            <w:r w:rsidR="009F2CF6">
              <w:rPr>
                <w:b/>
                <w:color w:val="000000"/>
              </w:rPr>
              <w:t>5</w:t>
            </w:r>
          </w:p>
        </w:tc>
      </w:tr>
      <w:tr w:rsidR="00817754" w:rsidRPr="00655BBC" w14:paraId="16C79A2D" w14:textId="77777777" w:rsidTr="00B80F62">
        <w:trPr>
          <w:trHeight w:val="300"/>
        </w:trPr>
        <w:tc>
          <w:tcPr>
            <w:tcW w:w="3736" w:type="dxa"/>
            <w:tcBorders>
              <w:top w:val="nil"/>
              <w:left w:val="nil"/>
              <w:bottom w:val="nil"/>
              <w:right w:val="nil"/>
            </w:tcBorders>
            <w:noWrap/>
            <w:vAlign w:val="bottom"/>
          </w:tcPr>
          <w:p w14:paraId="16C79A2B" w14:textId="035693A2" w:rsidR="00817754" w:rsidRPr="00817754" w:rsidRDefault="00817754" w:rsidP="002D3A95">
            <w:pPr>
              <w:widowControl/>
              <w:autoSpaceDE/>
              <w:autoSpaceDN/>
              <w:rPr>
                <w:color w:val="000000"/>
                <w:highlight w:val="yellow"/>
              </w:rPr>
            </w:pPr>
          </w:p>
        </w:tc>
        <w:tc>
          <w:tcPr>
            <w:tcW w:w="1800" w:type="dxa"/>
            <w:tcBorders>
              <w:top w:val="nil"/>
              <w:left w:val="nil"/>
              <w:bottom w:val="nil"/>
              <w:right w:val="nil"/>
            </w:tcBorders>
            <w:noWrap/>
            <w:vAlign w:val="bottom"/>
          </w:tcPr>
          <w:p w14:paraId="16C79A2C" w14:textId="5585A6A3" w:rsidR="00817754" w:rsidRPr="00817754" w:rsidRDefault="00817754" w:rsidP="00A6334F">
            <w:pPr>
              <w:widowControl/>
              <w:autoSpaceDE/>
              <w:autoSpaceDN/>
              <w:jc w:val="right"/>
              <w:rPr>
                <w:color w:val="000000"/>
                <w:highlight w:val="yellow"/>
              </w:rPr>
            </w:pPr>
          </w:p>
        </w:tc>
      </w:tr>
    </w:tbl>
    <w:p w14:paraId="16C79A46" w14:textId="6A1473FA" w:rsidR="00F1692E" w:rsidRPr="00655BBC" w:rsidRDefault="00F1692E" w:rsidP="00B61ED6">
      <w:pPr>
        <w:pStyle w:val="TxBrp6"/>
        <w:spacing w:line="240" w:lineRule="auto"/>
      </w:pPr>
      <w:r w:rsidRPr="00655BBC">
        <w:t xml:space="preserve">The total budgeted cost of the </w:t>
      </w:r>
      <w:r w:rsidR="00801807" w:rsidRPr="00655BBC">
        <w:t>Services is $</w:t>
      </w:r>
      <w:r w:rsidR="00C414A8">
        <w:t>3,469,98</w:t>
      </w:r>
      <w:r w:rsidR="009F2CF6">
        <w:t>5</w:t>
      </w:r>
      <w:r w:rsidR="00C414A8">
        <w:t>.00</w:t>
      </w:r>
      <w:r w:rsidR="009F2A96" w:rsidRPr="00655BBC">
        <w:t>, the entirety of which will be funded from assessments levied on and collected from</w:t>
      </w:r>
      <w:r w:rsidR="006C315D" w:rsidRPr="00655BBC">
        <w:t xml:space="preserve"> properties located in the PID that contain</w:t>
      </w:r>
      <w:r w:rsidR="009F2A96" w:rsidRPr="00655BBC">
        <w:t xml:space="preserve"> hotels </w:t>
      </w:r>
      <w:r w:rsidR="006C315D" w:rsidRPr="00655BBC">
        <w:t>with one hundred (</w:t>
      </w:r>
      <w:r w:rsidR="009F2A96" w:rsidRPr="00655BBC">
        <w:t>100</w:t>
      </w:r>
      <w:r w:rsidR="006C315D" w:rsidRPr="00655BBC">
        <w:t>)</w:t>
      </w:r>
      <w:r w:rsidR="009F2A96" w:rsidRPr="00655BBC">
        <w:t xml:space="preserve"> or more guest rooms </w:t>
      </w:r>
      <w:r w:rsidR="006C315D" w:rsidRPr="00655BBC">
        <w:t>and that are subject to payment of City hotel occupancy taxes pursuant to Chapter 32, Article II of the City Code</w:t>
      </w:r>
      <w:r w:rsidR="00EE1C01" w:rsidRPr="00655BBC">
        <w:t>,</w:t>
      </w:r>
      <w:r w:rsidR="00B61ED6" w:rsidRPr="00B61ED6">
        <w:t xml:space="preserve"> </w:t>
      </w:r>
      <w:r w:rsidR="00B61ED6">
        <w:t xml:space="preserve">as set forth in </w:t>
      </w:r>
      <w:r w:rsidR="00B61ED6">
        <w:rPr>
          <w:b/>
          <w:u w:val="single"/>
        </w:rPr>
        <w:t>Exhibit “A”</w:t>
      </w:r>
      <w:r w:rsidR="00B61ED6">
        <w:t>. attached hereto and hereby made a part of this Ordinance for all purposes</w:t>
      </w:r>
      <w:r w:rsidR="00EE1C01" w:rsidRPr="00655BBC">
        <w:t xml:space="preserve"> </w:t>
      </w:r>
      <w:r w:rsidR="009F2A96" w:rsidRPr="00655BBC">
        <w:t>(</w:t>
      </w:r>
      <w:r w:rsidR="00EE1C01">
        <w:t>such</w:t>
      </w:r>
      <w:r w:rsidR="000F3085">
        <w:t xml:space="preserve"> properties</w:t>
      </w:r>
      <w:r w:rsidR="00EE1C01">
        <w:t xml:space="preserve"> hereinafter</w:t>
      </w:r>
      <w:r w:rsidR="000F3085">
        <w:t xml:space="preserve"> being </w:t>
      </w:r>
      <w:r w:rsidR="00EE1C01">
        <w:t xml:space="preserve">referred to as </w:t>
      </w:r>
      <w:r w:rsidR="009F2A96" w:rsidRPr="00655BBC">
        <w:rPr>
          <w:b/>
        </w:rPr>
        <w:t>“Hotel</w:t>
      </w:r>
      <w:r w:rsidR="000F3085">
        <w:rPr>
          <w:b/>
        </w:rPr>
        <w:t xml:space="preserve"> Parcel</w:t>
      </w:r>
      <w:r w:rsidR="00350079" w:rsidRPr="00655BBC">
        <w:rPr>
          <w:b/>
        </w:rPr>
        <w:t>s</w:t>
      </w:r>
      <w:r w:rsidR="009F2A96" w:rsidRPr="00655BBC">
        <w:rPr>
          <w:b/>
        </w:rPr>
        <w:t>”</w:t>
      </w:r>
      <w:r w:rsidR="000F3085">
        <w:rPr>
          <w:b/>
        </w:rPr>
        <w:t xml:space="preserve"> </w:t>
      </w:r>
      <w:r w:rsidR="000F3085">
        <w:t>and the hotels located thereon being</w:t>
      </w:r>
      <w:r w:rsidR="00EE1C01">
        <w:t xml:space="preserve"> referred to as</w:t>
      </w:r>
      <w:r w:rsidR="000F3085">
        <w:t xml:space="preserve"> </w:t>
      </w:r>
      <w:r w:rsidR="00EE1C01">
        <w:t>“</w:t>
      </w:r>
      <w:r w:rsidR="00EE1C01" w:rsidRPr="00655BBC">
        <w:rPr>
          <w:b/>
        </w:rPr>
        <w:t>Qualifying</w:t>
      </w:r>
      <w:r w:rsidR="00EE1C01">
        <w:rPr>
          <w:b/>
        </w:rPr>
        <w:t xml:space="preserve"> Hotels”</w:t>
      </w:r>
      <w:r w:rsidR="009F2A96" w:rsidRPr="00655BBC">
        <w:t xml:space="preserve">); and   </w:t>
      </w:r>
    </w:p>
    <w:p w14:paraId="16C79A47" w14:textId="77777777" w:rsidR="00F1692E" w:rsidRPr="00655BBC" w:rsidRDefault="00F1692E" w:rsidP="00FE3218">
      <w:pPr>
        <w:ind w:left="360"/>
        <w:jc w:val="both"/>
      </w:pPr>
    </w:p>
    <w:p w14:paraId="16C79A49" w14:textId="2779C480" w:rsidR="00F1692E" w:rsidRPr="00655BBC" w:rsidRDefault="00F1692E" w:rsidP="00E06918">
      <w:pPr>
        <w:pStyle w:val="TxBrp3"/>
        <w:spacing w:line="240" w:lineRule="auto"/>
        <w:jc w:val="both"/>
      </w:pPr>
      <w:r w:rsidRPr="00655BBC">
        <w:rPr>
          <w:b/>
          <w:bCs/>
        </w:rPr>
        <w:lastRenderedPageBreak/>
        <w:t>WHEREAS</w:t>
      </w:r>
      <w:r w:rsidRPr="00655BBC">
        <w:t xml:space="preserve">, it is proposed that </w:t>
      </w:r>
      <w:r w:rsidR="00EE1C01">
        <w:t>Hotel Parcels</w:t>
      </w:r>
      <w:r w:rsidR="009F2A96" w:rsidRPr="00655BBC">
        <w:t xml:space="preserve"> located in the PID</w:t>
      </w:r>
      <w:r w:rsidRPr="00655BBC">
        <w:t xml:space="preserve"> be assessed at a </w:t>
      </w:r>
      <w:r w:rsidR="009F2A96" w:rsidRPr="00655BBC">
        <w:t>rate of two percent (2%) of</w:t>
      </w:r>
      <w:r w:rsidR="006B6076" w:rsidRPr="00655BBC">
        <w:t xml:space="preserve"> the consideration paid for occupancy of any sleeping room furnished by </w:t>
      </w:r>
      <w:r w:rsidR="00EE1C01">
        <w:t>the</w:t>
      </w:r>
      <w:r w:rsidR="006B6076" w:rsidRPr="00655BBC">
        <w:t xml:space="preserve"> Qualifying Hotels</w:t>
      </w:r>
      <w:r w:rsidR="00EE1C01">
        <w:t xml:space="preserve"> located thereon</w:t>
      </w:r>
      <w:r w:rsidR="006B6076" w:rsidRPr="00655BBC">
        <w:t xml:space="preserve">, which </w:t>
      </w:r>
      <w:r w:rsidR="000F3085">
        <w:t xml:space="preserve">assessments </w:t>
      </w:r>
      <w:r w:rsidR="006B6076" w:rsidRPr="00655BBC">
        <w:t xml:space="preserve">shall be collected in the same manner and </w:t>
      </w:r>
      <w:r w:rsidR="000F3085">
        <w:t>in accordance with</w:t>
      </w:r>
      <w:r w:rsidR="006B6076" w:rsidRPr="00655BBC">
        <w:t xml:space="preserve"> the same procedures as those established for collection of the City’s hotel occupancy tax, as set forth in Chapter 32, Article II of the City Code</w:t>
      </w:r>
      <w:r w:rsidRPr="00655BBC">
        <w:t>; and</w:t>
      </w:r>
    </w:p>
    <w:p w14:paraId="16C79A4A" w14:textId="77777777" w:rsidR="00F1692E" w:rsidRPr="00655BBC" w:rsidRDefault="00F1692E" w:rsidP="00E06918">
      <w:pPr>
        <w:pStyle w:val="TxBrp3"/>
        <w:spacing w:line="240" w:lineRule="auto"/>
        <w:jc w:val="both"/>
      </w:pPr>
    </w:p>
    <w:p w14:paraId="16C79A4B" w14:textId="261CF914" w:rsidR="00F1692E" w:rsidRPr="00655BBC" w:rsidRDefault="00F1692E">
      <w:pPr>
        <w:pStyle w:val="TxBrp3"/>
        <w:spacing w:line="240" w:lineRule="auto"/>
        <w:jc w:val="both"/>
      </w:pPr>
      <w:r w:rsidRPr="00655BBC">
        <w:rPr>
          <w:b/>
          <w:bCs/>
        </w:rPr>
        <w:t xml:space="preserve">WHEREAS, </w:t>
      </w:r>
      <w:r w:rsidR="006B6076" w:rsidRPr="00655BBC">
        <w:rPr>
          <w:bCs/>
        </w:rPr>
        <w:t xml:space="preserve">in accordance with Section 372.016, Texas Local Government Code, </w:t>
      </w:r>
      <w:r w:rsidRPr="00655BBC">
        <w:t xml:space="preserve">the </w:t>
      </w:r>
      <w:r w:rsidR="006B6076" w:rsidRPr="00655BBC">
        <w:t>Services</w:t>
      </w:r>
      <w:r w:rsidRPr="00655BBC">
        <w:t xml:space="preserve"> and proposed assessment roll </w:t>
      </w:r>
      <w:r w:rsidR="006B6076" w:rsidRPr="00655BBC">
        <w:t xml:space="preserve">for Fiscal Year 2018 </w:t>
      </w:r>
      <w:r w:rsidRPr="00655BBC">
        <w:t xml:space="preserve">were presented in a public hearing conducted </w:t>
      </w:r>
      <w:r w:rsidR="0083660E" w:rsidRPr="00655BBC">
        <w:t xml:space="preserve">by the City Council on </w:t>
      </w:r>
      <w:r w:rsidR="00AA2CBE" w:rsidRPr="00655BBC">
        <w:t xml:space="preserve">August </w:t>
      </w:r>
      <w:r w:rsidR="006B6076" w:rsidRPr="00655BBC">
        <w:t>29</w:t>
      </w:r>
      <w:r w:rsidR="0097447A" w:rsidRPr="00655BBC">
        <w:t>, 201</w:t>
      </w:r>
      <w:r w:rsidR="006B6076" w:rsidRPr="00655BBC">
        <w:t>7</w:t>
      </w:r>
      <w:r w:rsidRPr="00655BBC">
        <w:t xml:space="preserve"> </w:t>
      </w:r>
      <w:r w:rsidR="00D7498C" w:rsidRPr="00655BBC">
        <w:t xml:space="preserve">(the </w:t>
      </w:r>
      <w:r w:rsidR="00D7498C" w:rsidRPr="00655BBC">
        <w:rPr>
          <w:b/>
        </w:rPr>
        <w:t>“Public Hearing”</w:t>
      </w:r>
      <w:r w:rsidR="00D7498C" w:rsidRPr="00655BBC">
        <w:t xml:space="preserve">) </w:t>
      </w:r>
      <w:r w:rsidRPr="00655BBC">
        <w:t>and have been on file in the office of the City Secretary for public inspection; and</w:t>
      </w:r>
    </w:p>
    <w:p w14:paraId="16C79A4C" w14:textId="77777777" w:rsidR="00F1692E" w:rsidRPr="00655BBC" w:rsidRDefault="00F1692E">
      <w:pPr>
        <w:tabs>
          <w:tab w:val="left" w:pos="759"/>
        </w:tabs>
        <w:jc w:val="both"/>
      </w:pPr>
    </w:p>
    <w:p w14:paraId="16C79A4D" w14:textId="6BA7A0B1" w:rsidR="00F1692E" w:rsidRPr="00655BBC" w:rsidRDefault="00F1692E">
      <w:pPr>
        <w:pStyle w:val="TxBrp6"/>
        <w:spacing w:line="240" w:lineRule="auto"/>
      </w:pPr>
      <w:r w:rsidRPr="00655BBC">
        <w:rPr>
          <w:b/>
          <w:bCs/>
        </w:rPr>
        <w:t xml:space="preserve">WHEREAS, </w:t>
      </w:r>
      <w:r w:rsidRPr="00655BBC">
        <w:t xml:space="preserve">notice of </w:t>
      </w:r>
      <w:r w:rsidR="006B6076" w:rsidRPr="00655BBC">
        <w:t xml:space="preserve">the </w:t>
      </w:r>
      <w:r w:rsidR="00D7498C" w:rsidRPr="00655BBC">
        <w:t>P</w:t>
      </w:r>
      <w:r w:rsidR="006B6076" w:rsidRPr="00655BBC">
        <w:t xml:space="preserve">ublic </w:t>
      </w:r>
      <w:r w:rsidR="00D7498C" w:rsidRPr="00655BBC">
        <w:t>H</w:t>
      </w:r>
      <w:r w:rsidR="006B6076" w:rsidRPr="00655BBC">
        <w:t>earing</w:t>
      </w:r>
      <w:r w:rsidRPr="00655BBC">
        <w:t xml:space="preserve"> was published </w:t>
      </w:r>
      <w:r w:rsidR="000F3085" w:rsidRPr="00655BBC">
        <w:t xml:space="preserve">on August 13, 2017 </w:t>
      </w:r>
      <w:r w:rsidR="006B6076" w:rsidRPr="00655BBC">
        <w:t xml:space="preserve">in the Fort Worth </w:t>
      </w:r>
      <w:r w:rsidR="006B6076" w:rsidRPr="00655BBC">
        <w:rPr>
          <w:i/>
        </w:rPr>
        <w:t>Star-</w:t>
      </w:r>
      <w:r w:rsidR="006B6076" w:rsidRPr="000F3085">
        <w:rPr>
          <w:i/>
        </w:rPr>
        <w:t>Telegram</w:t>
      </w:r>
      <w:r w:rsidR="006B6076" w:rsidRPr="00655BBC">
        <w:t xml:space="preserve">, a newspaper of general circulation in the City, </w:t>
      </w:r>
      <w:r w:rsidRPr="00655BBC">
        <w:t xml:space="preserve">and </w:t>
      </w:r>
      <w:r w:rsidR="006B6076" w:rsidRPr="00655BBC">
        <w:t xml:space="preserve">was also </w:t>
      </w:r>
      <w:r w:rsidRPr="00655BBC">
        <w:t xml:space="preserve">mailed </w:t>
      </w:r>
      <w:r w:rsidR="000F3085" w:rsidRPr="00655BBC">
        <w:t>on August 11, 2017</w:t>
      </w:r>
      <w:r w:rsidR="000F3085">
        <w:t xml:space="preserve"> </w:t>
      </w:r>
      <w:r w:rsidRPr="00655BBC">
        <w:t xml:space="preserve">to all record owners of property in the </w:t>
      </w:r>
      <w:r w:rsidR="006B6076" w:rsidRPr="00655BBC">
        <w:t>PID</w:t>
      </w:r>
      <w:r w:rsidRPr="00655BBC">
        <w:t xml:space="preserve">, and all </w:t>
      </w:r>
      <w:r w:rsidR="00D7498C" w:rsidRPr="00655BBC">
        <w:t xml:space="preserve">persons </w:t>
      </w:r>
      <w:r w:rsidRPr="00655BBC">
        <w:t>desiring to be heard were given a full and fair opportunity to be heard</w:t>
      </w:r>
      <w:r w:rsidR="000F3085" w:rsidRPr="000F3085">
        <w:t xml:space="preserve"> </w:t>
      </w:r>
      <w:r w:rsidR="000F3085" w:rsidRPr="00655BBC">
        <w:t>at the Public Hearing</w:t>
      </w:r>
      <w:r w:rsidRPr="00655BBC">
        <w:t>;</w:t>
      </w:r>
    </w:p>
    <w:p w14:paraId="16C79A4E" w14:textId="77777777" w:rsidR="00F1692E" w:rsidRPr="00655BBC" w:rsidRDefault="00F1692E">
      <w:pPr>
        <w:tabs>
          <w:tab w:val="left" w:pos="759"/>
        </w:tabs>
        <w:jc w:val="both"/>
      </w:pPr>
    </w:p>
    <w:p w14:paraId="16C79A4F" w14:textId="77777777" w:rsidR="00F1692E" w:rsidRPr="00655BBC" w:rsidRDefault="00F1692E">
      <w:pPr>
        <w:pStyle w:val="TxBrp7"/>
        <w:spacing w:line="240" w:lineRule="auto"/>
        <w:rPr>
          <w:b/>
          <w:bCs/>
        </w:rPr>
      </w:pPr>
      <w:r w:rsidRPr="00655BBC">
        <w:rPr>
          <w:b/>
          <w:bCs/>
        </w:rPr>
        <w:t>NOW, THEREFORE, BE IT ORDAINED BY THE CITY COUNCIL OF THE CITY OF FORT WORTH, TEXAS:</w:t>
      </w:r>
    </w:p>
    <w:p w14:paraId="16C79A50" w14:textId="77777777" w:rsidR="00F1692E" w:rsidRPr="00655BBC" w:rsidRDefault="00F1692E">
      <w:pPr>
        <w:tabs>
          <w:tab w:val="left" w:pos="702"/>
        </w:tabs>
        <w:jc w:val="both"/>
        <w:rPr>
          <w:b/>
          <w:bCs/>
        </w:rPr>
      </w:pPr>
    </w:p>
    <w:p w14:paraId="16C79A51" w14:textId="77777777" w:rsidR="00F1692E" w:rsidRPr="00655BBC" w:rsidRDefault="00F1692E" w:rsidP="00851AAB">
      <w:pPr>
        <w:pStyle w:val="TxBrc1"/>
        <w:tabs>
          <w:tab w:val="left" w:pos="702"/>
        </w:tabs>
        <w:spacing w:line="240" w:lineRule="auto"/>
        <w:rPr>
          <w:b/>
          <w:bCs/>
        </w:rPr>
      </w:pPr>
      <w:proofErr w:type="gramStart"/>
      <w:r w:rsidRPr="00655BBC">
        <w:rPr>
          <w:b/>
          <w:bCs/>
        </w:rPr>
        <w:t>SECTION 1.</w:t>
      </w:r>
      <w:proofErr w:type="gramEnd"/>
    </w:p>
    <w:p w14:paraId="16C79A52" w14:textId="77777777" w:rsidR="00F1692E" w:rsidRPr="00655BBC" w:rsidRDefault="00F1692E" w:rsidP="00851AAB">
      <w:pPr>
        <w:pStyle w:val="TxBrc1"/>
        <w:tabs>
          <w:tab w:val="left" w:pos="702"/>
        </w:tabs>
        <w:spacing w:line="240" w:lineRule="auto"/>
        <w:rPr>
          <w:b/>
          <w:bCs/>
        </w:rPr>
      </w:pPr>
    </w:p>
    <w:p w14:paraId="16C79A53" w14:textId="77777777" w:rsidR="00F1692E" w:rsidRPr="00655BBC" w:rsidRDefault="00F1692E" w:rsidP="00851AAB">
      <w:pPr>
        <w:pStyle w:val="TxBrp6"/>
        <w:spacing w:line="240" w:lineRule="auto"/>
      </w:pPr>
      <w:r w:rsidRPr="00655BBC">
        <w:t>The Public Hearing is hereby closed and any and all protests and objections, whether herein enumerated or not, are hereby overruled.</w:t>
      </w:r>
    </w:p>
    <w:p w14:paraId="16C79A54" w14:textId="77777777" w:rsidR="00F1692E" w:rsidRPr="00655BBC" w:rsidRDefault="00F1692E" w:rsidP="00851AAB">
      <w:pPr>
        <w:tabs>
          <w:tab w:val="left" w:pos="759"/>
        </w:tabs>
        <w:jc w:val="both"/>
      </w:pPr>
    </w:p>
    <w:p w14:paraId="5D4F5B3F" w14:textId="77777777" w:rsidR="00033B09" w:rsidRDefault="00033B09" w:rsidP="00851AAB">
      <w:pPr>
        <w:pStyle w:val="TxBrc5"/>
        <w:tabs>
          <w:tab w:val="left" w:pos="759"/>
        </w:tabs>
        <w:spacing w:line="240" w:lineRule="auto"/>
        <w:rPr>
          <w:b/>
          <w:bCs/>
        </w:rPr>
      </w:pPr>
    </w:p>
    <w:p w14:paraId="16C79A55" w14:textId="77777777" w:rsidR="00F1692E" w:rsidRPr="00655BBC" w:rsidRDefault="00F1692E" w:rsidP="00851AAB">
      <w:pPr>
        <w:pStyle w:val="TxBrc5"/>
        <w:tabs>
          <w:tab w:val="left" w:pos="759"/>
        </w:tabs>
        <w:spacing w:line="240" w:lineRule="auto"/>
        <w:rPr>
          <w:b/>
          <w:bCs/>
        </w:rPr>
      </w:pPr>
      <w:proofErr w:type="gramStart"/>
      <w:r w:rsidRPr="00655BBC">
        <w:rPr>
          <w:b/>
          <w:bCs/>
        </w:rPr>
        <w:t>SECTION 2.</w:t>
      </w:r>
      <w:proofErr w:type="gramEnd"/>
    </w:p>
    <w:p w14:paraId="16C79A56" w14:textId="77777777" w:rsidR="00F1692E" w:rsidRPr="00655BBC" w:rsidRDefault="00F1692E" w:rsidP="00851AAB">
      <w:pPr>
        <w:pStyle w:val="TxBrc5"/>
        <w:tabs>
          <w:tab w:val="left" w:pos="759"/>
        </w:tabs>
        <w:spacing w:line="240" w:lineRule="auto"/>
        <w:rPr>
          <w:b/>
          <w:bCs/>
        </w:rPr>
      </w:pPr>
    </w:p>
    <w:p w14:paraId="16C79A57" w14:textId="6265930B" w:rsidR="00F1692E" w:rsidRPr="00655BBC" w:rsidRDefault="00F1692E" w:rsidP="00851AAB">
      <w:pPr>
        <w:pStyle w:val="TxBrp6"/>
        <w:spacing w:line="240" w:lineRule="auto"/>
      </w:pPr>
      <w:r w:rsidRPr="00655BBC">
        <w:t xml:space="preserve">The City Council, from all evidence before it, including all information provided to it and considered in the Public Hearing, finds that the assessments </w:t>
      </w:r>
      <w:r w:rsidR="00EE1C01">
        <w:t>described herein</w:t>
      </w:r>
      <w:r w:rsidR="00EE1C01" w:rsidRPr="00655BBC">
        <w:t xml:space="preserve"> </w:t>
      </w:r>
      <w:r w:rsidR="00EE1C01">
        <w:t xml:space="preserve">on Hotel Parcels </w:t>
      </w:r>
      <w:r w:rsidRPr="00655BBC">
        <w:t xml:space="preserve">should be made and levied </w:t>
      </w:r>
      <w:r w:rsidR="00D7498C" w:rsidRPr="00655BBC">
        <w:t xml:space="preserve">in a manner </w:t>
      </w:r>
      <w:r w:rsidR="004F5C3E" w:rsidRPr="00655BBC">
        <w:t>which</w:t>
      </w:r>
      <w:r w:rsidR="00D7498C" w:rsidRPr="00655BBC">
        <w:t xml:space="preserve"> </w:t>
      </w:r>
      <w:r w:rsidR="004F5C3E" w:rsidRPr="00655BBC">
        <w:t>r</w:t>
      </w:r>
      <w:r w:rsidR="00D7498C" w:rsidRPr="00655BBC">
        <w:t xml:space="preserve">esults in </w:t>
      </w:r>
      <w:r w:rsidR="004F5C3E" w:rsidRPr="00655BBC">
        <w:t xml:space="preserve">imposing </w:t>
      </w:r>
      <w:r w:rsidR="00D7498C" w:rsidRPr="00655BBC">
        <w:t xml:space="preserve">the costs of </w:t>
      </w:r>
      <w:r w:rsidR="000F3085">
        <w:t>the</w:t>
      </w:r>
      <w:r w:rsidR="00D7498C" w:rsidRPr="00655BBC">
        <w:t xml:space="preserve"> Services on </w:t>
      </w:r>
      <w:r w:rsidR="00C414A8">
        <w:t xml:space="preserve">Qualifying </w:t>
      </w:r>
      <w:r w:rsidR="00EE1C01">
        <w:t xml:space="preserve">Hotels </w:t>
      </w:r>
      <w:r w:rsidR="00D7498C" w:rsidRPr="00655BBC">
        <w:t>that are similarly benefitted from the provision of those Services</w:t>
      </w:r>
      <w:r w:rsidRPr="00655BBC">
        <w:t xml:space="preserve">.  </w:t>
      </w:r>
      <w:r w:rsidR="004F5C3E" w:rsidRPr="00655BBC">
        <w:t xml:space="preserve">The apportionment of those costs will be based on the special benefits accruing to the </w:t>
      </w:r>
      <w:r w:rsidR="00C414A8">
        <w:t xml:space="preserve">Qualifying </w:t>
      </w:r>
      <w:r w:rsidR="004F5C3E" w:rsidRPr="00655BBC">
        <w:t>Hotels on account of the Services provided.  As a result, those Qualifying Hotels that sell more guest rooms will pay a greater portion of the costs of the Services because those properties will have received a greater benefit from the promotions and marketing comprising the Services.</w:t>
      </w:r>
      <w:r w:rsidRPr="00655BBC">
        <w:t xml:space="preserve"> The City Council</w:t>
      </w:r>
      <w:r w:rsidR="006C315D" w:rsidRPr="00655BBC">
        <w:t xml:space="preserve"> further</w:t>
      </w:r>
      <w:r w:rsidRPr="00655BBC">
        <w:t xml:space="preserve"> finds that </w:t>
      </w:r>
      <w:r w:rsidR="004F5C3E" w:rsidRPr="00655BBC">
        <w:t xml:space="preserve">this method of assessment </w:t>
      </w:r>
      <w:r w:rsidR="006C315D" w:rsidRPr="00655BBC">
        <w:t>is fair and equitable, and results in</w:t>
      </w:r>
      <w:r w:rsidRPr="00655BBC">
        <w:t xml:space="preserve"> </w:t>
      </w:r>
      <w:r w:rsidR="006C315D" w:rsidRPr="00655BBC">
        <w:t>an</w:t>
      </w:r>
      <w:r w:rsidRPr="00655BBC">
        <w:t xml:space="preserve"> apportionment of the cost</w:t>
      </w:r>
      <w:r w:rsidR="006C315D" w:rsidRPr="00655BBC">
        <w:t>s</w:t>
      </w:r>
      <w:r w:rsidRPr="00655BBC">
        <w:t xml:space="preserve"> of the </w:t>
      </w:r>
      <w:r w:rsidR="006C315D" w:rsidRPr="00655BBC">
        <w:t>Services</w:t>
      </w:r>
      <w:r w:rsidRPr="00655BBC">
        <w:t xml:space="preserve"> </w:t>
      </w:r>
      <w:r w:rsidR="000F3085">
        <w:t>that complies</w:t>
      </w:r>
      <w:r w:rsidRPr="00655BBC">
        <w:t xml:space="preserve"> with applicable law.  </w:t>
      </w:r>
    </w:p>
    <w:p w14:paraId="16C79A58" w14:textId="77777777" w:rsidR="00F1692E" w:rsidRPr="00655BBC" w:rsidRDefault="00F1692E">
      <w:pPr>
        <w:tabs>
          <w:tab w:val="left" w:pos="204"/>
        </w:tabs>
        <w:jc w:val="both"/>
      </w:pPr>
    </w:p>
    <w:p w14:paraId="486C6244" w14:textId="77777777" w:rsidR="00033B09" w:rsidRDefault="00033B09">
      <w:pPr>
        <w:pStyle w:val="TxBrc1"/>
        <w:tabs>
          <w:tab w:val="left" w:pos="204"/>
        </w:tabs>
        <w:spacing w:line="240" w:lineRule="auto"/>
        <w:rPr>
          <w:b/>
          <w:bCs/>
        </w:rPr>
      </w:pPr>
    </w:p>
    <w:p w14:paraId="16C79A59" w14:textId="42734C25" w:rsidR="00F1692E" w:rsidRPr="00655BBC" w:rsidRDefault="00F1692E">
      <w:pPr>
        <w:pStyle w:val="TxBrc1"/>
        <w:tabs>
          <w:tab w:val="left" w:pos="204"/>
        </w:tabs>
        <w:spacing w:line="240" w:lineRule="auto"/>
      </w:pPr>
      <w:proofErr w:type="gramStart"/>
      <w:r w:rsidRPr="00655BBC">
        <w:rPr>
          <w:b/>
          <w:bCs/>
        </w:rPr>
        <w:t>SECTION 3.</w:t>
      </w:r>
      <w:proofErr w:type="gramEnd"/>
    </w:p>
    <w:p w14:paraId="16C79A5A" w14:textId="77777777" w:rsidR="00F1692E" w:rsidRPr="00655BBC" w:rsidRDefault="00F1692E">
      <w:pPr>
        <w:pStyle w:val="TxBrp0"/>
        <w:spacing w:line="240" w:lineRule="auto"/>
      </w:pPr>
    </w:p>
    <w:p w14:paraId="16C79A5C" w14:textId="6CDFE89E" w:rsidR="00F1692E" w:rsidRPr="00655BBC" w:rsidRDefault="006C315D" w:rsidP="00350079">
      <w:pPr>
        <w:pStyle w:val="TxBrp6"/>
        <w:spacing w:line="240" w:lineRule="auto"/>
      </w:pPr>
      <w:r w:rsidRPr="00655BBC">
        <w:t xml:space="preserve">In accordance with Section 372.017, </w:t>
      </w:r>
      <w:r w:rsidR="00350079" w:rsidRPr="00655BBC">
        <w:t>Texas Local Government Code, in order to pay the costs of the Services provided during Fiscal Year 2018</w:t>
      </w:r>
      <w:r w:rsidRPr="00655BBC">
        <w:t xml:space="preserve">, </w:t>
      </w:r>
      <w:r w:rsidR="00350079" w:rsidRPr="00C414A8">
        <w:t>effective January 1, 2018</w:t>
      </w:r>
      <w:r w:rsidR="00350079" w:rsidRPr="00655BBC">
        <w:t xml:space="preserve"> </w:t>
      </w:r>
      <w:r w:rsidRPr="00655BBC">
        <w:t xml:space="preserve">the City hereby levies </w:t>
      </w:r>
      <w:r w:rsidR="00350079" w:rsidRPr="00655BBC">
        <w:t xml:space="preserve">a special </w:t>
      </w:r>
      <w:r w:rsidRPr="00655BBC">
        <w:t>assessment against Hotel</w:t>
      </w:r>
      <w:r w:rsidR="00EE1C01">
        <w:t xml:space="preserve"> Parcel</w:t>
      </w:r>
      <w:r w:rsidRPr="00655BBC">
        <w:t xml:space="preserve">s </w:t>
      </w:r>
      <w:r w:rsidR="00350079" w:rsidRPr="00655BBC">
        <w:t>in the amount of two percent (2%) of the consideration paid for occupancy of any sleeping room furnished by Qualifying Hotels</w:t>
      </w:r>
      <w:r w:rsidR="00EE1C01">
        <w:t xml:space="preserve"> located thereon</w:t>
      </w:r>
      <w:r w:rsidR="00350079" w:rsidRPr="00655BBC">
        <w:t xml:space="preserve">, which assessments shall be collected in the same manner and </w:t>
      </w:r>
      <w:r w:rsidR="000F3085">
        <w:t>in accordance with</w:t>
      </w:r>
      <w:r w:rsidR="00350079" w:rsidRPr="00655BBC">
        <w:t xml:space="preserve"> the same procedures as those established for collection of the City’s hotel occupancy tax, as set forth in Chapter 32, Article II </w:t>
      </w:r>
      <w:r w:rsidR="00350079" w:rsidRPr="00655BBC">
        <w:lastRenderedPageBreak/>
        <w:t xml:space="preserve">of the City Code. </w:t>
      </w:r>
      <w:r w:rsidR="00594285" w:rsidRPr="00655BBC">
        <w:t>The first collection of assessments hereunder shall be made at the same time hotel occupancy taxes are collected</w:t>
      </w:r>
      <w:r w:rsidR="00C414A8">
        <w:t xml:space="preserve"> on and after January 1</w:t>
      </w:r>
      <w:r w:rsidR="00594285" w:rsidRPr="00C414A8">
        <w:t>, 2018</w:t>
      </w:r>
      <w:r w:rsidR="00594285" w:rsidRPr="00655BBC">
        <w:t>.</w:t>
      </w:r>
    </w:p>
    <w:p w14:paraId="3513C6C9" w14:textId="77777777" w:rsidR="00350079" w:rsidRPr="00655BBC" w:rsidRDefault="00350079" w:rsidP="00350079">
      <w:pPr>
        <w:pStyle w:val="TxBrp6"/>
        <w:spacing w:line="240" w:lineRule="auto"/>
        <w:rPr>
          <w:b/>
          <w:bCs/>
        </w:rPr>
      </w:pPr>
    </w:p>
    <w:p w14:paraId="0102B781" w14:textId="77777777" w:rsidR="00033B09" w:rsidRDefault="00033B09" w:rsidP="00851AAB">
      <w:pPr>
        <w:pStyle w:val="TxBrc1"/>
        <w:tabs>
          <w:tab w:val="left" w:pos="759"/>
        </w:tabs>
        <w:spacing w:line="240" w:lineRule="auto"/>
        <w:rPr>
          <w:b/>
          <w:bCs/>
        </w:rPr>
      </w:pPr>
    </w:p>
    <w:p w14:paraId="16C79A5D" w14:textId="77777777" w:rsidR="00F1692E" w:rsidRPr="00655BBC" w:rsidRDefault="00F1692E" w:rsidP="00851AAB">
      <w:pPr>
        <w:pStyle w:val="TxBrc1"/>
        <w:tabs>
          <w:tab w:val="left" w:pos="759"/>
        </w:tabs>
        <w:spacing w:line="240" w:lineRule="auto"/>
        <w:rPr>
          <w:b/>
          <w:bCs/>
        </w:rPr>
      </w:pPr>
      <w:proofErr w:type="gramStart"/>
      <w:r w:rsidRPr="00655BBC">
        <w:rPr>
          <w:b/>
          <w:bCs/>
        </w:rPr>
        <w:t>SECTION 4.</w:t>
      </w:r>
      <w:proofErr w:type="gramEnd"/>
    </w:p>
    <w:p w14:paraId="16C79A5E" w14:textId="77777777" w:rsidR="00F1692E" w:rsidRPr="00655BBC" w:rsidRDefault="00F1692E" w:rsidP="00851AAB">
      <w:pPr>
        <w:pStyle w:val="TxBrc1"/>
        <w:tabs>
          <w:tab w:val="left" w:pos="759"/>
        </w:tabs>
        <w:spacing w:line="240" w:lineRule="auto"/>
        <w:rPr>
          <w:b/>
          <w:bCs/>
        </w:rPr>
      </w:pPr>
    </w:p>
    <w:p w14:paraId="16C79A63" w14:textId="5706BD12" w:rsidR="00F1692E" w:rsidRPr="00655BBC" w:rsidRDefault="00F1692E" w:rsidP="00851AAB">
      <w:pPr>
        <w:pStyle w:val="TxBrp6"/>
        <w:spacing w:line="240" w:lineRule="auto"/>
      </w:pPr>
      <w:r w:rsidRPr="00655BBC">
        <w:t xml:space="preserve">The </w:t>
      </w:r>
      <w:r w:rsidR="00594285" w:rsidRPr="00655BBC">
        <w:t>assessments levied hereunder,</w:t>
      </w:r>
      <w:r w:rsidRPr="00655BBC">
        <w:t xml:space="preserve"> together with reasonable attorney’s fees and cost of collection, if incurred, are hereby declared to be and are made a lien upon the </w:t>
      </w:r>
      <w:r w:rsidR="00EE1C01">
        <w:t xml:space="preserve">Hotel Parcels and </w:t>
      </w:r>
      <w:r w:rsidR="00594285" w:rsidRPr="00655BBC">
        <w:t>Qualifying Hotels</w:t>
      </w:r>
      <w:r w:rsidRPr="00655BBC">
        <w:t>, and</w:t>
      </w:r>
      <w:r w:rsidR="000F3085">
        <w:t xml:space="preserve"> are</w:t>
      </w:r>
      <w:r w:rsidRPr="00655BBC">
        <w:t xml:space="preserve"> a personal liability and charge against the real and true owners of such propert</w:t>
      </w:r>
      <w:r w:rsidR="00EE1C01">
        <w:t>ies</w:t>
      </w:r>
      <w:r w:rsidRPr="00655BBC">
        <w:t xml:space="preserve">, whether such owners </w:t>
      </w:r>
      <w:r w:rsidR="00594285" w:rsidRPr="00655BBC">
        <w:t>are</w:t>
      </w:r>
      <w:r w:rsidRPr="00655BBC">
        <w:t xml:space="preserve"> correctly named herein or not</w:t>
      </w:r>
      <w:r w:rsidR="00594285" w:rsidRPr="00655BBC">
        <w:t>.  S</w:t>
      </w:r>
      <w:r w:rsidRPr="00655BBC">
        <w:t xml:space="preserve">uch liens shall be and constitute the first enforceable lien and claim against the </w:t>
      </w:r>
      <w:r w:rsidR="00EE1C01">
        <w:t xml:space="preserve">Hotel Parcels and </w:t>
      </w:r>
      <w:r w:rsidR="00594285" w:rsidRPr="00655BBC">
        <w:t>Qualifying Hotels</w:t>
      </w:r>
      <w:r w:rsidRPr="00655BBC">
        <w:t xml:space="preserve">, superior to all other liens and claims, except state, county, school district and city ad valorem taxes. A copy of this </w:t>
      </w:r>
      <w:r w:rsidR="00594285" w:rsidRPr="00655BBC">
        <w:t>O</w:t>
      </w:r>
      <w:r w:rsidRPr="00655BBC">
        <w:t>rdinance may be filed with the County Clerk of</w:t>
      </w:r>
      <w:r w:rsidR="00AF5487">
        <w:t xml:space="preserve"> the county in which the Hotel Parcel and Qualifying Hotel are located</w:t>
      </w:r>
      <w:r w:rsidRPr="00655BBC">
        <w:t>, and when so filed shall constitute complete and adequate legal notice to the public concerning the liens hereby assessed against the respective parcels of property and the owners thereof.</w:t>
      </w:r>
    </w:p>
    <w:p w14:paraId="16C79A64" w14:textId="77777777" w:rsidR="00F1692E" w:rsidRPr="00655BBC" w:rsidRDefault="00F1692E" w:rsidP="00851AAB">
      <w:pPr>
        <w:tabs>
          <w:tab w:val="left" w:pos="759"/>
        </w:tabs>
        <w:jc w:val="both"/>
      </w:pPr>
    </w:p>
    <w:p w14:paraId="16C79A65" w14:textId="19AA8A87" w:rsidR="00F1692E" w:rsidRPr="00655BBC" w:rsidRDefault="00F1692E" w:rsidP="00851AAB">
      <w:pPr>
        <w:pStyle w:val="TxBrp6"/>
        <w:spacing w:line="240" w:lineRule="auto"/>
      </w:pPr>
      <w:r w:rsidRPr="00655BBC">
        <w:t xml:space="preserve">The sums assessed against the </w:t>
      </w:r>
      <w:r w:rsidR="000F3085">
        <w:t>Hotel</w:t>
      </w:r>
      <w:r w:rsidR="00EE1C01">
        <w:t xml:space="preserve"> Parcel</w:t>
      </w:r>
      <w:r w:rsidR="000F3085">
        <w:t xml:space="preserve">s </w:t>
      </w:r>
      <w:r w:rsidRPr="00655BBC">
        <w:t>shall</w:t>
      </w:r>
      <w:r w:rsidR="000F3085">
        <w:t>,</w:t>
      </w:r>
      <w:r w:rsidRPr="00655BBC">
        <w:t xml:space="preserve"> be and become due </w:t>
      </w:r>
      <w:r w:rsidR="00594285" w:rsidRPr="00655BBC">
        <w:t>at the same time that hotel occupancy taxes on the Qualifying Hotels</w:t>
      </w:r>
      <w:r w:rsidR="00EE1C01">
        <w:t xml:space="preserve"> located thereon</w:t>
      </w:r>
      <w:r w:rsidR="00594285" w:rsidRPr="00655BBC">
        <w:t xml:space="preserve"> become due</w:t>
      </w:r>
      <w:r w:rsidRPr="00655BBC">
        <w:t xml:space="preserve">, and shall become delinquent if not paid </w:t>
      </w:r>
      <w:r w:rsidR="00594285" w:rsidRPr="00655BBC">
        <w:t>by the applicable deadlines established by Chapter 32, Article II of the City Code</w:t>
      </w:r>
      <w:r w:rsidRPr="00655BBC">
        <w:t xml:space="preserve">. The entire amount assessed against each </w:t>
      </w:r>
      <w:r w:rsidR="00655BBC" w:rsidRPr="00655BBC">
        <w:t>Hotel</w:t>
      </w:r>
      <w:r w:rsidRPr="00655BBC">
        <w:t xml:space="preserve"> </w:t>
      </w:r>
      <w:r w:rsidR="00EE1C01">
        <w:t xml:space="preserve">Parcel </w:t>
      </w:r>
      <w:r w:rsidRPr="00655BBC">
        <w:t xml:space="preserve">shall bear penalty and interest, from and after </w:t>
      </w:r>
      <w:r w:rsidR="00594285" w:rsidRPr="00655BBC">
        <w:t>the respective due date</w:t>
      </w:r>
      <w:r w:rsidRPr="00655BBC">
        <w:t xml:space="preserve"> at the same rate as prescribed </w:t>
      </w:r>
      <w:r w:rsidR="00655BBC" w:rsidRPr="00655BBC">
        <w:t>Chapter 32, Article II of the City Code</w:t>
      </w:r>
      <w:r w:rsidRPr="00655BBC">
        <w:t>.</w:t>
      </w:r>
    </w:p>
    <w:p w14:paraId="16C79A66" w14:textId="77777777" w:rsidR="00F1692E" w:rsidRPr="00655BBC" w:rsidRDefault="00F1692E" w:rsidP="00851AAB">
      <w:pPr>
        <w:tabs>
          <w:tab w:val="left" w:pos="759"/>
        </w:tabs>
        <w:jc w:val="both"/>
      </w:pPr>
    </w:p>
    <w:p w14:paraId="60467972" w14:textId="77777777" w:rsidR="00033B09" w:rsidRDefault="00033B09" w:rsidP="00655BBC">
      <w:pPr>
        <w:widowControl/>
        <w:autoSpaceDE/>
        <w:autoSpaceDN/>
        <w:jc w:val="center"/>
        <w:rPr>
          <w:b/>
          <w:bCs/>
        </w:rPr>
      </w:pPr>
    </w:p>
    <w:p w14:paraId="16C79A67" w14:textId="4F4502FD" w:rsidR="00F1692E" w:rsidRPr="00655BBC" w:rsidRDefault="00F1692E" w:rsidP="00655BBC">
      <w:pPr>
        <w:widowControl/>
        <w:autoSpaceDE/>
        <w:autoSpaceDN/>
        <w:jc w:val="center"/>
        <w:rPr>
          <w:b/>
          <w:bCs/>
        </w:rPr>
      </w:pPr>
      <w:proofErr w:type="gramStart"/>
      <w:r w:rsidRPr="00655BBC">
        <w:rPr>
          <w:b/>
          <w:bCs/>
        </w:rPr>
        <w:t xml:space="preserve">SECTION </w:t>
      </w:r>
      <w:r w:rsidR="00655BBC" w:rsidRPr="00655BBC">
        <w:rPr>
          <w:b/>
          <w:bCs/>
        </w:rPr>
        <w:t>5</w:t>
      </w:r>
      <w:r w:rsidRPr="00655BBC">
        <w:rPr>
          <w:b/>
          <w:bCs/>
        </w:rPr>
        <w:t>.</w:t>
      </w:r>
      <w:proofErr w:type="gramEnd"/>
    </w:p>
    <w:p w14:paraId="16C79A68" w14:textId="77777777" w:rsidR="00F1692E" w:rsidRPr="00655BBC" w:rsidRDefault="00F1692E" w:rsidP="00851AAB">
      <w:pPr>
        <w:pStyle w:val="TxBrc5"/>
        <w:tabs>
          <w:tab w:val="left" w:pos="759"/>
        </w:tabs>
        <w:spacing w:line="240" w:lineRule="auto"/>
        <w:rPr>
          <w:b/>
          <w:bCs/>
        </w:rPr>
      </w:pPr>
    </w:p>
    <w:p w14:paraId="16C79A69" w14:textId="77777777" w:rsidR="00F1692E" w:rsidRPr="00655BBC" w:rsidRDefault="00F1692E" w:rsidP="00851AAB">
      <w:pPr>
        <w:pStyle w:val="TxBrp6"/>
        <w:spacing w:line="240" w:lineRule="auto"/>
      </w:pPr>
      <w:r w:rsidRPr="00655BBC">
        <w:t>If default shall be made in the payment of any assessments, collection thereof shall be enforced by suit in any court of competent jurisdiction, and said City shall exercise all of its lawful powers to aid in the enforcement and collection of said assessments.</w:t>
      </w:r>
    </w:p>
    <w:p w14:paraId="16C79A6A" w14:textId="77777777" w:rsidR="00F1692E" w:rsidRPr="00655BBC" w:rsidRDefault="00F1692E" w:rsidP="00851AAB">
      <w:pPr>
        <w:pStyle w:val="TxBrp15"/>
        <w:spacing w:line="240" w:lineRule="auto"/>
        <w:jc w:val="both"/>
        <w:rPr>
          <w:b/>
          <w:bCs/>
        </w:rPr>
      </w:pPr>
    </w:p>
    <w:p w14:paraId="0AAE035A" w14:textId="77777777" w:rsidR="00033B09" w:rsidRDefault="00033B09" w:rsidP="00851AAB">
      <w:pPr>
        <w:pStyle w:val="TxBrc1"/>
        <w:tabs>
          <w:tab w:val="left" w:pos="204"/>
        </w:tabs>
        <w:spacing w:line="240" w:lineRule="auto"/>
        <w:rPr>
          <w:b/>
          <w:bCs/>
        </w:rPr>
      </w:pPr>
    </w:p>
    <w:p w14:paraId="16C79A6B" w14:textId="36E8EBFB" w:rsidR="00F1692E" w:rsidRPr="00655BBC" w:rsidRDefault="00F1692E" w:rsidP="00851AAB">
      <w:pPr>
        <w:pStyle w:val="TxBrc1"/>
        <w:tabs>
          <w:tab w:val="left" w:pos="204"/>
        </w:tabs>
        <w:spacing w:line="240" w:lineRule="auto"/>
        <w:rPr>
          <w:b/>
          <w:bCs/>
        </w:rPr>
      </w:pPr>
      <w:proofErr w:type="gramStart"/>
      <w:r w:rsidRPr="00AF5487">
        <w:rPr>
          <w:b/>
          <w:bCs/>
        </w:rPr>
        <w:t xml:space="preserve">SECTION </w:t>
      </w:r>
      <w:r w:rsidR="00655BBC" w:rsidRPr="00AF5487">
        <w:rPr>
          <w:b/>
          <w:bCs/>
        </w:rPr>
        <w:t>6</w:t>
      </w:r>
      <w:r w:rsidRPr="00AF5487">
        <w:rPr>
          <w:b/>
          <w:bCs/>
        </w:rPr>
        <w:t>.</w:t>
      </w:r>
      <w:proofErr w:type="gramEnd"/>
    </w:p>
    <w:p w14:paraId="16C79A6C" w14:textId="77777777" w:rsidR="00F1692E" w:rsidRPr="00655BBC" w:rsidRDefault="00F1692E" w:rsidP="00851AAB">
      <w:pPr>
        <w:pStyle w:val="TxBrc1"/>
        <w:tabs>
          <w:tab w:val="left" w:pos="204"/>
        </w:tabs>
        <w:spacing w:line="240" w:lineRule="auto"/>
        <w:rPr>
          <w:b/>
          <w:bCs/>
        </w:rPr>
      </w:pPr>
    </w:p>
    <w:p w14:paraId="16C79A6D" w14:textId="491E6B10" w:rsidR="00F1692E" w:rsidRPr="00655BBC" w:rsidRDefault="00F1692E" w:rsidP="00851AAB">
      <w:pPr>
        <w:pStyle w:val="TxBrp17"/>
        <w:spacing w:line="240" w:lineRule="auto"/>
      </w:pPr>
      <w:r w:rsidRPr="00AF5487">
        <w:t>The total amount assessed against the respective parcels of property and the owners thereof, is in accordance with the proceedings of the City hereto and is permitted by applicable law.</w:t>
      </w:r>
    </w:p>
    <w:p w14:paraId="16C79A6E" w14:textId="77777777" w:rsidR="00F1692E" w:rsidRPr="00655BBC" w:rsidRDefault="00F1692E" w:rsidP="00851AAB">
      <w:pPr>
        <w:pStyle w:val="TxBrp17"/>
        <w:spacing w:line="240" w:lineRule="auto"/>
      </w:pPr>
    </w:p>
    <w:p w14:paraId="50C35914" w14:textId="77777777" w:rsidR="00033B09" w:rsidRDefault="00033B09" w:rsidP="00851AAB">
      <w:pPr>
        <w:pStyle w:val="TxBrc1"/>
        <w:tabs>
          <w:tab w:val="left" w:pos="725"/>
        </w:tabs>
        <w:spacing w:line="240" w:lineRule="auto"/>
        <w:rPr>
          <w:b/>
          <w:bCs/>
        </w:rPr>
      </w:pPr>
    </w:p>
    <w:p w14:paraId="16C79A6F" w14:textId="2FC8D4B5" w:rsidR="00F1692E" w:rsidRPr="00655BBC" w:rsidRDefault="00F1692E" w:rsidP="00851AAB">
      <w:pPr>
        <w:pStyle w:val="TxBrc1"/>
        <w:tabs>
          <w:tab w:val="left" w:pos="725"/>
        </w:tabs>
        <w:spacing w:line="240" w:lineRule="auto"/>
        <w:rPr>
          <w:b/>
          <w:bCs/>
        </w:rPr>
      </w:pPr>
      <w:proofErr w:type="gramStart"/>
      <w:r w:rsidRPr="00AF5487">
        <w:rPr>
          <w:b/>
          <w:bCs/>
        </w:rPr>
        <w:t xml:space="preserve">SECTION </w:t>
      </w:r>
      <w:r w:rsidR="00655BBC" w:rsidRPr="00AF5487">
        <w:rPr>
          <w:b/>
          <w:bCs/>
        </w:rPr>
        <w:t>7</w:t>
      </w:r>
      <w:r w:rsidRPr="00AF5487">
        <w:rPr>
          <w:b/>
          <w:bCs/>
        </w:rPr>
        <w:t>.</w:t>
      </w:r>
      <w:proofErr w:type="gramEnd"/>
    </w:p>
    <w:p w14:paraId="16C79A70" w14:textId="77777777" w:rsidR="00F1692E" w:rsidRPr="00655BBC" w:rsidRDefault="00F1692E" w:rsidP="00851AAB">
      <w:pPr>
        <w:pStyle w:val="TxBrc1"/>
        <w:tabs>
          <w:tab w:val="left" w:pos="725"/>
        </w:tabs>
        <w:spacing w:line="240" w:lineRule="auto"/>
        <w:rPr>
          <w:b/>
          <w:bCs/>
        </w:rPr>
      </w:pPr>
    </w:p>
    <w:p w14:paraId="16C79A75" w14:textId="137ACD82" w:rsidR="00F1692E" w:rsidRPr="00655BBC" w:rsidRDefault="00F1692E" w:rsidP="00851AAB">
      <w:pPr>
        <w:pStyle w:val="TxBrp17"/>
        <w:spacing w:line="240" w:lineRule="auto"/>
      </w:pPr>
      <w:r w:rsidRPr="00655BBC">
        <w:t xml:space="preserve">Full </w:t>
      </w:r>
      <w:proofErr w:type="gramStart"/>
      <w:r w:rsidRPr="00655BBC">
        <w:t>power to make and levy reassessments and to correct mistakes, errors, invalid</w:t>
      </w:r>
      <w:r w:rsidR="00310E27" w:rsidRPr="00655BBC">
        <w:t>ities</w:t>
      </w:r>
      <w:r w:rsidRPr="00655BBC">
        <w:t xml:space="preserve"> or irregularities in the assessments are</w:t>
      </w:r>
      <w:proofErr w:type="gramEnd"/>
      <w:r w:rsidRPr="00655BBC">
        <w:t>, in accordance with the law in force in this City, vested in the City.</w:t>
      </w:r>
    </w:p>
    <w:p w14:paraId="16C79A76" w14:textId="77777777" w:rsidR="00F1692E" w:rsidRPr="00655BBC" w:rsidRDefault="00F1692E" w:rsidP="00851AAB">
      <w:pPr>
        <w:pStyle w:val="TxBrc8"/>
        <w:tabs>
          <w:tab w:val="left" w:pos="759"/>
        </w:tabs>
        <w:spacing w:line="240" w:lineRule="auto"/>
        <w:jc w:val="both"/>
        <w:rPr>
          <w:b/>
          <w:bCs/>
        </w:rPr>
      </w:pPr>
    </w:p>
    <w:p w14:paraId="16C79A77" w14:textId="5CBD7E0E" w:rsidR="00F1692E" w:rsidRPr="00655BBC" w:rsidRDefault="00F1692E" w:rsidP="00851AAB">
      <w:pPr>
        <w:pStyle w:val="TxBrc1"/>
        <w:tabs>
          <w:tab w:val="left" w:pos="759"/>
        </w:tabs>
        <w:spacing w:line="240" w:lineRule="auto"/>
        <w:rPr>
          <w:b/>
          <w:bCs/>
        </w:rPr>
      </w:pPr>
      <w:proofErr w:type="gramStart"/>
      <w:r w:rsidRPr="00655BBC">
        <w:rPr>
          <w:b/>
          <w:bCs/>
        </w:rPr>
        <w:t>SECTION</w:t>
      </w:r>
      <w:r w:rsidR="00AF5487">
        <w:rPr>
          <w:b/>
          <w:bCs/>
        </w:rPr>
        <w:t xml:space="preserve"> 8</w:t>
      </w:r>
      <w:r w:rsidRPr="00655BBC">
        <w:rPr>
          <w:b/>
          <w:bCs/>
        </w:rPr>
        <w:t>.</w:t>
      </w:r>
      <w:proofErr w:type="gramEnd"/>
    </w:p>
    <w:p w14:paraId="16C79A78" w14:textId="77777777" w:rsidR="00F1692E" w:rsidRPr="00655BBC" w:rsidRDefault="00F1692E" w:rsidP="00851AAB">
      <w:pPr>
        <w:pStyle w:val="TxBrc1"/>
        <w:tabs>
          <w:tab w:val="left" w:pos="759"/>
        </w:tabs>
        <w:spacing w:line="240" w:lineRule="auto"/>
        <w:rPr>
          <w:b/>
          <w:bCs/>
        </w:rPr>
      </w:pPr>
    </w:p>
    <w:p w14:paraId="16C79A79" w14:textId="67EE2D11" w:rsidR="00F1692E" w:rsidRPr="00655BBC" w:rsidRDefault="00F1692E" w:rsidP="00851AAB">
      <w:pPr>
        <w:pStyle w:val="TxBrp3"/>
        <w:spacing w:line="240" w:lineRule="auto"/>
        <w:jc w:val="both"/>
      </w:pPr>
      <w:r w:rsidRPr="00655BBC">
        <w:t xml:space="preserve">In any suit upon any assessment or reassessment, it shall be sufficient to allege the substance of the provision recited in this </w:t>
      </w:r>
      <w:r w:rsidR="00655BBC" w:rsidRPr="00655BBC">
        <w:t>O</w:t>
      </w:r>
      <w:r w:rsidRPr="00655BBC">
        <w:t xml:space="preserve">rdinance and that </w:t>
      </w:r>
      <w:r w:rsidR="00655BBC" w:rsidRPr="00655BBC">
        <w:t>the</w:t>
      </w:r>
      <w:r w:rsidRPr="00655BBC">
        <w:t xml:space="preserve"> </w:t>
      </w:r>
      <w:r w:rsidR="00655BBC" w:rsidRPr="00655BBC">
        <w:t>R</w:t>
      </w:r>
      <w:r w:rsidRPr="00655BBC">
        <w:t xml:space="preserve">ecitals </w:t>
      </w:r>
      <w:r w:rsidR="00655BBC" w:rsidRPr="00655BBC">
        <w:t xml:space="preserve">hereto </w:t>
      </w:r>
      <w:r w:rsidRPr="00655BBC">
        <w:t xml:space="preserve">are in fact true, and further </w:t>
      </w:r>
      <w:r w:rsidRPr="00655BBC">
        <w:lastRenderedPageBreak/>
        <w:t>allegations with reference to the proceedings relating to such assessment and reassessment shall not be necessary.</w:t>
      </w:r>
    </w:p>
    <w:p w14:paraId="16C79A7A" w14:textId="77777777" w:rsidR="00F1692E" w:rsidRPr="00655BBC" w:rsidRDefault="00F1692E" w:rsidP="00851AAB">
      <w:pPr>
        <w:tabs>
          <w:tab w:val="left" w:pos="759"/>
        </w:tabs>
        <w:jc w:val="both"/>
      </w:pPr>
    </w:p>
    <w:p w14:paraId="713D35BF" w14:textId="77777777" w:rsidR="00033B09" w:rsidRDefault="00033B09" w:rsidP="00851AAB">
      <w:pPr>
        <w:pStyle w:val="TxBrc9"/>
        <w:tabs>
          <w:tab w:val="left" w:pos="759"/>
        </w:tabs>
        <w:spacing w:line="240" w:lineRule="auto"/>
        <w:rPr>
          <w:b/>
          <w:bCs/>
        </w:rPr>
      </w:pPr>
    </w:p>
    <w:p w14:paraId="16C79A7B" w14:textId="616C215A" w:rsidR="00F1692E" w:rsidRPr="00655BBC" w:rsidRDefault="00F1692E" w:rsidP="00851AAB">
      <w:pPr>
        <w:pStyle w:val="TxBrc9"/>
        <w:tabs>
          <w:tab w:val="left" w:pos="759"/>
        </w:tabs>
        <w:spacing w:line="240" w:lineRule="auto"/>
        <w:rPr>
          <w:b/>
          <w:bCs/>
        </w:rPr>
      </w:pPr>
      <w:proofErr w:type="gramStart"/>
      <w:r w:rsidRPr="00655BBC">
        <w:rPr>
          <w:b/>
          <w:bCs/>
        </w:rPr>
        <w:t>SECTION</w:t>
      </w:r>
      <w:r w:rsidR="00AF5487">
        <w:rPr>
          <w:b/>
          <w:bCs/>
        </w:rPr>
        <w:t xml:space="preserve"> 9</w:t>
      </w:r>
      <w:r w:rsidRPr="00655BBC">
        <w:rPr>
          <w:b/>
          <w:bCs/>
        </w:rPr>
        <w:t>.</w:t>
      </w:r>
      <w:proofErr w:type="gramEnd"/>
    </w:p>
    <w:p w14:paraId="16C79A7C" w14:textId="77777777" w:rsidR="00F1692E" w:rsidRPr="00655BBC" w:rsidRDefault="00F1692E" w:rsidP="00851AAB">
      <w:pPr>
        <w:pStyle w:val="TxBrc9"/>
        <w:tabs>
          <w:tab w:val="left" w:pos="759"/>
        </w:tabs>
        <w:spacing w:line="240" w:lineRule="auto"/>
        <w:rPr>
          <w:b/>
          <w:bCs/>
        </w:rPr>
      </w:pPr>
    </w:p>
    <w:p w14:paraId="16C79A7D" w14:textId="77777777" w:rsidR="00F1692E" w:rsidRPr="00655BBC" w:rsidRDefault="00F1692E" w:rsidP="00851AAB">
      <w:pPr>
        <w:pStyle w:val="TxBrp15"/>
        <w:spacing w:line="240" w:lineRule="auto"/>
        <w:jc w:val="both"/>
      </w:pPr>
      <w:r w:rsidRPr="00655BBC">
        <w:tab/>
      </w:r>
      <w:r w:rsidRPr="00655BBC">
        <w:tab/>
        <w:t>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shall remain in full force and effect.</w:t>
      </w:r>
    </w:p>
    <w:p w14:paraId="16C79A7E" w14:textId="77777777" w:rsidR="00F1692E" w:rsidRPr="00655BBC" w:rsidRDefault="00F1692E" w:rsidP="00851AAB">
      <w:pPr>
        <w:tabs>
          <w:tab w:val="left" w:pos="204"/>
        </w:tabs>
        <w:jc w:val="both"/>
      </w:pPr>
    </w:p>
    <w:p w14:paraId="5443C64A" w14:textId="77777777" w:rsidR="00033B09" w:rsidRDefault="00033B09" w:rsidP="00851AAB">
      <w:pPr>
        <w:pStyle w:val="TxBrc13"/>
        <w:tabs>
          <w:tab w:val="left" w:pos="204"/>
        </w:tabs>
        <w:spacing w:line="240" w:lineRule="auto"/>
        <w:rPr>
          <w:b/>
          <w:bCs/>
        </w:rPr>
      </w:pPr>
    </w:p>
    <w:p w14:paraId="16C79A7F" w14:textId="519C13B2" w:rsidR="00F1692E" w:rsidRPr="00655BBC" w:rsidRDefault="00F1692E" w:rsidP="00851AAB">
      <w:pPr>
        <w:pStyle w:val="TxBrc13"/>
        <w:tabs>
          <w:tab w:val="left" w:pos="204"/>
        </w:tabs>
        <w:spacing w:line="240" w:lineRule="auto"/>
        <w:rPr>
          <w:b/>
          <w:bCs/>
        </w:rPr>
      </w:pPr>
      <w:proofErr w:type="gramStart"/>
      <w:r w:rsidRPr="00655BBC">
        <w:rPr>
          <w:b/>
          <w:bCs/>
        </w:rPr>
        <w:t>SECTION</w:t>
      </w:r>
      <w:r w:rsidR="00AF5487">
        <w:rPr>
          <w:b/>
          <w:bCs/>
        </w:rPr>
        <w:t xml:space="preserve"> 10</w:t>
      </w:r>
      <w:r w:rsidRPr="00655BBC">
        <w:rPr>
          <w:b/>
          <w:bCs/>
        </w:rPr>
        <w:t>.</w:t>
      </w:r>
      <w:proofErr w:type="gramEnd"/>
    </w:p>
    <w:p w14:paraId="16C79A80" w14:textId="77777777" w:rsidR="00F1692E" w:rsidRPr="00655BBC" w:rsidRDefault="00F1692E" w:rsidP="00851AAB">
      <w:pPr>
        <w:pStyle w:val="TxBrc13"/>
        <w:tabs>
          <w:tab w:val="left" w:pos="204"/>
        </w:tabs>
        <w:spacing w:line="240" w:lineRule="auto"/>
        <w:rPr>
          <w:b/>
          <w:bCs/>
        </w:rPr>
      </w:pPr>
    </w:p>
    <w:p w14:paraId="16C79A81" w14:textId="77777777" w:rsidR="00F1692E" w:rsidRPr="00655BBC" w:rsidRDefault="00F1692E" w:rsidP="00851AAB">
      <w:pPr>
        <w:pStyle w:val="TxBrp15"/>
        <w:spacing w:line="240" w:lineRule="auto"/>
        <w:jc w:val="both"/>
      </w:pPr>
      <w:r w:rsidRPr="00655BBC">
        <w:tab/>
      </w:r>
      <w:r w:rsidRPr="00655BBC">
        <w:tab/>
        <w:t>This Ordinance shall be cumulative of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14:paraId="16C79A82" w14:textId="77777777" w:rsidR="00F1692E" w:rsidRPr="00655BBC" w:rsidRDefault="00F1692E" w:rsidP="00851AAB">
      <w:pPr>
        <w:tabs>
          <w:tab w:val="left" w:pos="204"/>
        </w:tabs>
        <w:jc w:val="both"/>
      </w:pPr>
    </w:p>
    <w:p w14:paraId="471ADFEC" w14:textId="77777777" w:rsidR="00033B09" w:rsidRDefault="00033B09" w:rsidP="00851AAB">
      <w:pPr>
        <w:tabs>
          <w:tab w:val="left" w:pos="759"/>
        </w:tabs>
        <w:jc w:val="center"/>
        <w:rPr>
          <w:b/>
          <w:bCs/>
        </w:rPr>
      </w:pPr>
    </w:p>
    <w:p w14:paraId="16C79A83" w14:textId="4FE94B6F" w:rsidR="00F1692E" w:rsidRPr="00655BBC" w:rsidRDefault="00F1692E" w:rsidP="00851AAB">
      <w:pPr>
        <w:tabs>
          <w:tab w:val="left" w:pos="759"/>
        </w:tabs>
        <w:jc w:val="center"/>
        <w:rPr>
          <w:b/>
          <w:bCs/>
        </w:rPr>
      </w:pPr>
      <w:proofErr w:type="gramStart"/>
      <w:r w:rsidRPr="00655BBC">
        <w:rPr>
          <w:b/>
          <w:bCs/>
        </w:rPr>
        <w:t>SECTION</w:t>
      </w:r>
      <w:r w:rsidR="00AF5487">
        <w:rPr>
          <w:b/>
          <w:bCs/>
        </w:rPr>
        <w:t xml:space="preserve"> 11</w:t>
      </w:r>
      <w:r w:rsidRPr="00655BBC">
        <w:rPr>
          <w:b/>
          <w:bCs/>
        </w:rPr>
        <w:t>.</w:t>
      </w:r>
      <w:proofErr w:type="gramEnd"/>
    </w:p>
    <w:p w14:paraId="16C79A84" w14:textId="77777777" w:rsidR="00F1692E" w:rsidRPr="00655BBC" w:rsidRDefault="00F1692E" w:rsidP="00851AAB">
      <w:pPr>
        <w:tabs>
          <w:tab w:val="left" w:pos="759"/>
        </w:tabs>
        <w:jc w:val="center"/>
        <w:rPr>
          <w:b/>
          <w:bCs/>
        </w:rPr>
      </w:pPr>
    </w:p>
    <w:p w14:paraId="16C79A85" w14:textId="599C8654" w:rsidR="00F1692E" w:rsidRPr="00655BBC" w:rsidRDefault="00F1692E" w:rsidP="00851AAB">
      <w:pPr>
        <w:tabs>
          <w:tab w:val="left" w:pos="759"/>
        </w:tabs>
        <w:jc w:val="both"/>
      </w:pPr>
      <w:r w:rsidRPr="00655BBC">
        <w:rPr>
          <w:b/>
          <w:bCs/>
        </w:rPr>
        <w:tab/>
      </w:r>
      <w:r w:rsidRPr="00655BBC">
        <w:t xml:space="preserve">This Ordinance shall take effect and be in full force and effect </w:t>
      </w:r>
      <w:r w:rsidR="00655BBC" w:rsidRPr="00655BBC">
        <w:t xml:space="preserve">contemporaneously upon the effectiveness of Resolution No. </w:t>
      </w:r>
      <w:r w:rsidR="00655BBC" w:rsidRPr="00655BBC">
        <w:rPr>
          <w:highlight w:val="yellow"/>
        </w:rPr>
        <w:t>______________</w:t>
      </w:r>
      <w:r w:rsidRPr="00655BBC">
        <w:t xml:space="preserve">. </w:t>
      </w:r>
    </w:p>
    <w:p w14:paraId="16C79A86" w14:textId="77777777" w:rsidR="00F1692E" w:rsidRPr="00655BBC" w:rsidRDefault="00F1692E" w:rsidP="00851AAB">
      <w:pPr>
        <w:pStyle w:val="TxBrp10"/>
        <w:spacing w:line="240" w:lineRule="auto"/>
        <w:jc w:val="both"/>
        <w:rPr>
          <w:b/>
          <w:bCs/>
        </w:rPr>
      </w:pPr>
    </w:p>
    <w:p w14:paraId="16C79A87" w14:textId="77777777" w:rsidR="00F1692E" w:rsidRPr="00655BBC" w:rsidRDefault="00F1692E" w:rsidP="00851AAB">
      <w:pPr>
        <w:pStyle w:val="TxBrp10"/>
        <w:spacing w:line="240" w:lineRule="auto"/>
        <w:jc w:val="both"/>
        <w:rPr>
          <w:b/>
        </w:rPr>
      </w:pPr>
    </w:p>
    <w:p w14:paraId="47638C54" w14:textId="3448F402" w:rsidR="00AF76C6" w:rsidRPr="00655BBC" w:rsidRDefault="00AF76C6" w:rsidP="00655BBC">
      <w:pPr>
        <w:widowControl/>
        <w:autoSpaceDE/>
        <w:autoSpaceDN/>
        <w:rPr>
          <w:b/>
        </w:rPr>
      </w:pPr>
      <w:r w:rsidRPr="00655BBC">
        <w:rPr>
          <w:b/>
        </w:rPr>
        <w:t>AND IT IS SO ORDAINED.</w:t>
      </w:r>
    </w:p>
    <w:p w14:paraId="510B4C5B" w14:textId="77777777" w:rsidR="00AF76C6" w:rsidRPr="00655BBC" w:rsidRDefault="00AF76C6" w:rsidP="00AF76C6">
      <w:pPr>
        <w:pStyle w:val="TxBrp10"/>
        <w:spacing w:line="240" w:lineRule="auto"/>
        <w:jc w:val="both"/>
      </w:pPr>
    </w:p>
    <w:p w14:paraId="62E1F8CA" w14:textId="77777777" w:rsidR="00655BBC" w:rsidRPr="00655BBC" w:rsidRDefault="00655BBC" w:rsidP="00655BBC">
      <w:pPr>
        <w:widowControl/>
        <w:autoSpaceDE/>
        <w:autoSpaceDN/>
        <w:rPr>
          <w:b/>
          <w:bCs/>
        </w:rPr>
      </w:pPr>
    </w:p>
    <w:p w14:paraId="121254E6" w14:textId="77777777" w:rsidR="00655BBC" w:rsidRPr="00655BBC" w:rsidRDefault="00655BBC" w:rsidP="00655BBC">
      <w:pPr>
        <w:widowControl/>
        <w:autoSpaceDE/>
        <w:autoSpaceDN/>
        <w:rPr>
          <w:b/>
          <w:bCs/>
        </w:rPr>
      </w:pPr>
    </w:p>
    <w:p w14:paraId="382AC271" w14:textId="6D0D2ECF" w:rsidR="0062144D" w:rsidRDefault="0062144D">
      <w:pPr>
        <w:widowControl/>
        <w:autoSpaceDE/>
        <w:autoSpaceDN/>
        <w:rPr>
          <w:b/>
          <w:bCs/>
        </w:rPr>
      </w:pPr>
    </w:p>
    <w:p w14:paraId="397D10BB" w14:textId="45B16236" w:rsidR="00AF76C6" w:rsidRPr="00655BBC" w:rsidRDefault="00AF76C6" w:rsidP="00655BBC">
      <w:pPr>
        <w:widowControl/>
        <w:autoSpaceDE/>
        <w:autoSpaceDN/>
        <w:rPr>
          <w:b/>
          <w:bCs/>
        </w:rPr>
      </w:pPr>
      <w:r w:rsidRPr="00655BBC">
        <w:rPr>
          <w:b/>
          <w:bCs/>
        </w:rPr>
        <w:t>APPROVED AS TO FORM AND LEGALITY:</w:t>
      </w:r>
      <w:r w:rsidRPr="00655BBC">
        <w:rPr>
          <w:b/>
          <w:bCs/>
        </w:rPr>
        <w:tab/>
      </w:r>
      <w:r w:rsidRPr="00655BBC">
        <w:rPr>
          <w:b/>
          <w:bCs/>
        </w:rPr>
        <w:tab/>
        <w:t>ATTEST:</w:t>
      </w:r>
    </w:p>
    <w:p w14:paraId="0DF7AF54" w14:textId="77777777" w:rsidR="00AF76C6" w:rsidRPr="00655BBC" w:rsidRDefault="00AF76C6" w:rsidP="00AF76C6">
      <w:pPr>
        <w:tabs>
          <w:tab w:val="left" w:pos="204"/>
        </w:tabs>
        <w:jc w:val="both"/>
        <w:rPr>
          <w:b/>
          <w:bCs/>
        </w:rPr>
      </w:pPr>
    </w:p>
    <w:p w14:paraId="720DD160" w14:textId="77777777" w:rsidR="00AF76C6" w:rsidRPr="00655BBC" w:rsidRDefault="00AF76C6" w:rsidP="00AF76C6">
      <w:pPr>
        <w:tabs>
          <w:tab w:val="left" w:pos="204"/>
        </w:tabs>
        <w:jc w:val="both"/>
        <w:rPr>
          <w:b/>
          <w:bCs/>
        </w:rPr>
      </w:pPr>
    </w:p>
    <w:p w14:paraId="172641FE" w14:textId="77777777" w:rsidR="00AF76C6" w:rsidRPr="00655BBC" w:rsidRDefault="00AF76C6" w:rsidP="00AF76C6">
      <w:pPr>
        <w:tabs>
          <w:tab w:val="left" w:pos="204"/>
        </w:tabs>
        <w:jc w:val="both"/>
        <w:rPr>
          <w:b/>
          <w:bCs/>
        </w:rPr>
      </w:pPr>
    </w:p>
    <w:p w14:paraId="31BE7954" w14:textId="5B722990" w:rsidR="00AF76C6" w:rsidRPr="00655BBC" w:rsidRDefault="00AF76C6" w:rsidP="00AF76C6">
      <w:pPr>
        <w:tabs>
          <w:tab w:val="left" w:pos="204"/>
        </w:tabs>
        <w:jc w:val="both"/>
        <w:rPr>
          <w:bCs/>
        </w:rPr>
      </w:pPr>
      <w:r w:rsidRPr="00655BBC">
        <w:rPr>
          <w:b/>
          <w:bCs/>
        </w:rPr>
        <w:t>___________________________________</w:t>
      </w:r>
      <w:r w:rsidRPr="00655BBC">
        <w:rPr>
          <w:b/>
          <w:bCs/>
        </w:rPr>
        <w:tab/>
      </w:r>
      <w:r w:rsidRPr="00655BBC">
        <w:rPr>
          <w:b/>
          <w:bCs/>
        </w:rPr>
        <w:tab/>
      </w:r>
      <w:r w:rsidRPr="00655BBC">
        <w:rPr>
          <w:bCs/>
        </w:rPr>
        <w:tab/>
        <w:t>______________________________</w:t>
      </w:r>
    </w:p>
    <w:p w14:paraId="73414D00" w14:textId="3E912580" w:rsidR="00AF76C6" w:rsidRPr="00655BBC" w:rsidRDefault="005136C7" w:rsidP="00AF76C6">
      <w:pPr>
        <w:pStyle w:val="TxBrp11"/>
        <w:spacing w:line="240" w:lineRule="auto"/>
        <w:jc w:val="both"/>
      </w:pPr>
      <w:r w:rsidRPr="00655BBC">
        <w:t>Assistant City Attorney</w:t>
      </w:r>
      <w:r w:rsidR="00AF76C6" w:rsidRPr="00655BBC">
        <w:tab/>
      </w:r>
      <w:r w:rsidR="00AF76C6" w:rsidRPr="00655BBC">
        <w:tab/>
      </w:r>
      <w:r w:rsidR="00AF76C6" w:rsidRPr="00655BBC">
        <w:tab/>
      </w:r>
      <w:r w:rsidR="00AF76C6" w:rsidRPr="00655BBC">
        <w:tab/>
      </w:r>
      <w:r w:rsidR="00AF76C6" w:rsidRPr="00655BBC">
        <w:tab/>
        <w:t>Mary J. Kayser, City Secretary</w:t>
      </w:r>
    </w:p>
    <w:p w14:paraId="0281E1F0" w14:textId="77777777" w:rsidR="00AF76C6" w:rsidRPr="00655BBC" w:rsidRDefault="00AF76C6" w:rsidP="00AF76C6">
      <w:pPr>
        <w:tabs>
          <w:tab w:val="left" w:pos="1122"/>
        </w:tabs>
        <w:jc w:val="both"/>
      </w:pPr>
    </w:p>
    <w:p w14:paraId="2C28F4D3" w14:textId="77777777" w:rsidR="005136C7" w:rsidRPr="00655BBC" w:rsidRDefault="005136C7" w:rsidP="00AF76C6">
      <w:pPr>
        <w:tabs>
          <w:tab w:val="left" w:pos="1122"/>
        </w:tabs>
        <w:jc w:val="both"/>
      </w:pPr>
    </w:p>
    <w:p w14:paraId="4BC55C59" w14:textId="46717E4B" w:rsidR="00AF76C6" w:rsidRPr="00655BBC" w:rsidRDefault="00AF76C6" w:rsidP="00AF76C6">
      <w:pPr>
        <w:pStyle w:val="TxBrp11"/>
        <w:spacing w:line="240" w:lineRule="auto"/>
        <w:jc w:val="both"/>
      </w:pPr>
      <w:r w:rsidRPr="00655BBC">
        <w:t>M&amp;C</w:t>
      </w:r>
      <w:r w:rsidR="00655BBC" w:rsidRPr="00655BBC">
        <w:t xml:space="preserve">: _______________________ </w:t>
      </w:r>
    </w:p>
    <w:p w14:paraId="6D74A9F5" w14:textId="77777777" w:rsidR="00AF76C6" w:rsidRPr="00655BBC" w:rsidRDefault="00AF76C6" w:rsidP="00AF76C6">
      <w:pPr>
        <w:pStyle w:val="TxBrp11"/>
        <w:spacing w:line="240" w:lineRule="auto"/>
        <w:jc w:val="both"/>
      </w:pPr>
    </w:p>
    <w:p w14:paraId="2FA914DD" w14:textId="154D2809" w:rsidR="009F2CF6" w:rsidRDefault="00AF76C6" w:rsidP="00AF76C6">
      <w:pPr>
        <w:pStyle w:val="TxBrp11"/>
        <w:spacing w:line="240" w:lineRule="auto"/>
        <w:jc w:val="both"/>
        <w:rPr>
          <w:u w:val="single"/>
        </w:rPr>
      </w:pPr>
      <w:r w:rsidRPr="00655BBC">
        <w:t xml:space="preserve">Adopted: </w:t>
      </w:r>
      <w:r w:rsidRPr="00655BBC">
        <w:rPr>
          <w:u w:val="single"/>
        </w:rPr>
        <w:tab/>
        <w:t>0</w:t>
      </w:r>
      <w:r w:rsidR="00655BBC" w:rsidRPr="00655BBC">
        <w:rPr>
          <w:u w:val="single"/>
        </w:rPr>
        <w:t>8</w:t>
      </w:r>
      <w:r w:rsidRPr="00655BBC">
        <w:rPr>
          <w:u w:val="single"/>
        </w:rPr>
        <w:t>-</w:t>
      </w:r>
      <w:r w:rsidR="00655BBC" w:rsidRPr="00655BBC">
        <w:rPr>
          <w:u w:val="single"/>
        </w:rPr>
        <w:t>29</w:t>
      </w:r>
      <w:r w:rsidRPr="00655BBC">
        <w:rPr>
          <w:u w:val="single"/>
        </w:rPr>
        <w:t>-1</w:t>
      </w:r>
      <w:r w:rsidR="00655BBC" w:rsidRPr="00655BBC">
        <w:rPr>
          <w:u w:val="single"/>
        </w:rPr>
        <w:t>7</w:t>
      </w:r>
      <w:r w:rsidR="00655BBC" w:rsidRPr="00655BBC">
        <w:rPr>
          <w:u w:val="single"/>
        </w:rPr>
        <w:tab/>
      </w:r>
      <w:r w:rsidR="00655BBC" w:rsidRPr="00655BBC">
        <w:rPr>
          <w:u w:val="single"/>
        </w:rPr>
        <w:tab/>
      </w:r>
    </w:p>
    <w:p w14:paraId="4C059FE9" w14:textId="77777777" w:rsidR="009F2CF6" w:rsidRDefault="009F2CF6">
      <w:pPr>
        <w:widowControl/>
        <w:autoSpaceDE/>
        <w:autoSpaceDN/>
        <w:rPr>
          <w:u w:val="single"/>
        </w:rPr>
      </w:pPr>
      <w:r>
        <w:rPr>
          <w:u w:val="single"/>
        </w:rPr>
        <w:br w:type="page"/>
      </w:r>
    </w:p>
    <w:p w14:paraId="75EBF79D" w14:textId="1A8301ED" w:rsidR="009F2CF6" w:rsidRDefault="009F2CF6">
      <w:pPr>
        <w:pStyle w:val="TxBrp11"/>
        <w:spacing w:line="240" w:lineRule="auto"/>
        <w:jc w:val="center"/>
        <w:rPr>
          <w:b/>
          <w:u w:val="single"/>
        </w:rPr>
      </w:pPr>
      <w:r>
        <w:rPr>
          <w:b/>
          <w:u w:val="single"/>
        </w:rPr>
        <w:lastRenderedPageBreak/>
        <w:t>EXHIBIT “A”</w:t>
      </w:r>
    </w:p>
    <w:p w14:paraId="2EEDA7D5" w14:textId="77777777" w:rsidR="009F2CF6" w:rsidRDefault="009F2CF6">
      <w:pPr>
        <w:pStyle w:val="TxBrp11"/>
        <w:spacing w:line="240" w:lineRule="auto"/>
        <w:jc w:val="center"/>
        <w:rPr>
          <w:b/>
          <w:u w:val="single"/>
        </w:rPr>
      </w:pPr>
    </w:p>
    <w:p w14:paraId="6E4C5BD6" w14:textId="026C0932" w:rsidR="009F2CF6" w:rsidRPr="009F2CF6" w:rsidRDefault="009F2CF6">
      <w:pPr>
        <w:pStyle w:val="TxBrp11"/>
        <w:spacing w:line="240" w:lineRule="auto"/>
        <w:jc w:val="center"/>
        <w:rPr>
          <w:b/>
          <w:u w:val="single"/>
        </w:rPr>
      </w:pPr>
      <w:r>
        <w:rPr>
          <w:b/>
          <w:u w:val="single"/>
        </w:rPr>
        <w:t>QUALIFYING HOTELS IN THE TOURISM PID</w:t>
      </w:r>
    </w:p>
    <w:p w14:paraId="16C79A96" w14:textId="26C75062" w:rsidR="00F1692E" w:rsidRPr="00655BBC" w:rsidRDefault="00F1692E" w:rsidP="00851AAB">
      <w:pPr>
        <w:tabs>
          <w:tab w:val="left" w:pos="204"/>
        </w:tabs>
        <w:jc w:val="both"/>
      </w:pPr>
      <w:r w:rsidRPr="00655BBC">
        <w:tab/>
      </w:r>
      <w:r w:rsidRPr="00655BBC">
        <w:tab/>
      </w:r>
    </w:p>
    <w:p w14:paraId="16C79A97" w14:textId="77777777" w:rsidR="00F1692E" w:rsidRPr="00655BBC" w:rsidRDefault="00F1692E" w:rsidP="00851AAB">
      <w:pPr>
        <w:pStyle w:val="TxBrp11"/>
        <w:spacing w:line="240" w:lineRule="auto"/>
        <w:jc w:val="both"/>
      </w:pPr>
      <w:r w:rsidRPr="00655BBC">
        <w:tab/>
      </w:r>
      <w:r w:rsidRPr="00655BBC">
        <w:tab/>
      </w:r>
    </w:p>
    <w:tbl>
      <w:tblPr>
        <w:tblW w:w="964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700"/>
        <w:gridCol w:w="1980"/>
        <w:gridCol w:w="720"/>
      </w:tblGrid>
      <w:tr w:rsidR="008C2BAE" w:rsidRPr="008C2BAE" w14:paraId="199800B4" w14:textId="77777777" w:rsidTr="00860CDA">
        <w:trPr>
          <w:trHeight w:val="600"/>
        </w:trPr>
        <w:tc>
          <w:tcPr>
            <w:tcW w:w="4248" w:type="dxa"/>
            <w:shd w:val="clear" w:color="auto" w:fill="auto"/>
            <w:hideMark/>
          </w:tcPr>
          <w:p w14:paraId="2024C4D7" w14:textId="77777777" w:rsidR="008C2BAE" w:rsidRPr="008C2BAE" w:rsidRDefault="008C2BAE" w:rsidP="008C2BAE">
            <w:pPr>
              <w:widowControl/>
              <w:autoSpaceDE/>
              <w:autoSpaceDN/>
              <w:rPr>
                <w:rFonts w:ascii="Calibri" w:eastAsia="Calibri" w:hAnsi="Calibri"/>
                <w:b/>
                <w:bCs/>
                <w:color w:val="000000"/>
                <w:sz w:val="22"/>
                <w:szCs w:val="22"/>
              </w:rPr>
            </w:pPr>
            <w:r w:rsidRPr="008C2BAE">
              <w:rPr>
                <w:rFonts w:ascii="Calibri" w:eastAsia="Calibri" w:hAnsi="Calibri"/>
                <w:b/>
                <w:bCs/>
                <w:color w:val="000000"/>
                <w:sz w:val="22"/>
                <w:szCs w:val="22"/>
              </w:rPr>
              <w:t>Account Name</w:t>
            </w:r>
          </w:p>
        </w:tc>
        <w:tc>
          <w:tcPr>
            <w:tcW w:w="2700" w:type="dxa"/>
            <w:shd w:val="clear" w:color="auto" w:fill="auto"/>
            <w:hideMark/>
          </w:tcPr>
          <w:p w14:paraId="3DA01F48" w14:textId="77777777" w:rsidR="008C2BAE" w:rsidRPr="008C2BAE" w:rsidRDefault="008C2BAE" w:rsidP="008C2BAE">
            <w:pPr>
              <w:widowControl/>
              <w:autoSpaceDE/>
              <w:autoSpaceDN/>
              <w:rPr>
                <w:rFonts w:ascii="Calibri" w:eastAsia="Calibri" w:hAnsi="Calibri"/>
                <w:b/>
                <w:bCs/>
                <w:color w:val="000000"/>
                <w:sz w:val="22"/>
                <w:szCs w:val="22"/>
              </w:rPr>
            </w:pPr>
            <w:r w:rsidRPr="008C2BAE">
              <w:rPr>
                <w:rFonts w:ascii="Calibri" w:eastAsia="Calibri" w:hAnsi="Calibri"/>
                <w:b/>
                <w:bCs/>
                <w:color w:val="000000"/>
                <w:sz w:val="22"/>
                <w:szCs w:val="22"/>
              </w:rPr>
              <w:t>Address</w:t>
            </w:r>
          </w:p>
        </w:tc>
        <w:tc>
          <w:tcPr>
            <w:tcW w:w="1980" w:type="dxa"/>
            <w:shd w:val="clear" w:color="auto" w:fill="auto"/>
            <w:hideMark/>
          </w:tcPr>
          <w:p w14:paraId="42DCE951" w14:textId="77777777" w:rsidR="008C2BAE" w:rsidRPr="008C2BAE" w:rsidRDefault="008C2BAE" w:rsidP="008C2BAE">
            <w:pPr>
              <w:widowControl/>
              <w:autoSpaceDE/>
              <w:autoSpaceDN/>
              <w:rPr>
                <w:rFonts w:ascii="Calibri" w:eastAsia="Calibri" w:hAnsi="Calibri"/>
                <w:b/>
                <w:bCs/>
                <w:color w:val="000000"/>
                <w:sz w:val="22"/>
                <w:szCs w:val="22"/>
              </w:rPr>
            </w:pPr>
            <w:r w:rsidRPr="008C2BAE">
              <w:rPr>
                <w:rFonts w:ascii="Calibri" w:eastAsia="Calibri" w:hAnsi="Calibri"/>
                <w:b/>
                <w:bCs/>
                <w:color w:val="000000"/>
                <w:sz w:val="22"/>
                <w:szCs w:val="22"/>
              </w:rPr>
              <w:t>City, State, Zip</w:t>
            </w:r>
          </w:p>
        </w:tc>
        <w:tc>
          <w:tcPr>
            <w:tcW w:w="720" w:type="dxa"/>
            <w:shd w:val="clear" w:color="auto" w:fill="auto"/>
            <w:hideMark/>
          </w:tcPr>
          <w:p w14:paraId="2FEFB24D" w14:textId="77777777" w:rsidR="008C2BAE" w:rsidRPr="008C2BAE" w:rsidRDefault="008C2BAE" w:rsidP="008C2BAE">
            <w:pPr>
              <w:widowControl/>
              <w:autoSpaceDE/>
              <w:autoSpaceDN/>
              <w:rPr>
                <w:rFonts w:ascii="Calibri" w:eastAsia="Calibri" w:hAnsi="Calibri"/>
                <w:b/>
                <w:bCs/>
                <w:color w:val="000000"/>
                <w:sz w:val="22"/>
                <w:szCs w:val="22"/>
              </w:rPr>
            </w:pPr>
            <w:r w:rsidRPr="008C2BAE">
              <w:rPr>
                <w:rFonts w:ascii="Calibri" w:eastAsia="Calibri" w:hAnsi="Calibri"/>
                <w:b/>
                <w:bCs/>
                <w:color w:val="000000"/>
                <w:sz w:val="22"/>
                <w:szCs w:val="22"/>
              </w:rPr>
              <w:t>RMS</w:t>
            </w:r>
          </w:p>
        </w:tc>
      </w:tr>
      <w:tr w:rsidR="008C2BAE" w:rsidRPr="008C2BAE" w14:paraId="6EBDC1F1" w14:textId="77777777" w:rsidTr="00860CDA">
        <w:trPr>
          <w:trHeight w:val="585"/>
        </w:trPr>
        <w:tc>
          <w:tcPr>
            <w:tcW w:w="4248" w:type="dxa"/>
            <w:shd w:val="clear" w:color="auto" w:fill="auto"/>
            <w:noWrap/>
            <w:hideMark/>
          </w:tcPr>
          <w:p w14:paraId="775FACDD"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Aloft Downtown Fort Worth</w:t>
            </w:r>
          </w:p>
        </w:tc>
        <w:tc>
          <w:tcPr>
            <w:tcW w:w="2700" w:type="dxa"/>
            <w:shd w:val="clear" w:color="auto" w:fill="auto"/>
            <w:noWrap/>
            <w:hideMark/>
          </w:tcPr>
          <w:p w14:paraId="2C77925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300 W. 3rd St.</w:t>
            </w:r>
          </w:p>
        </w:tc>
        <w:tc>
          <w:tcPr>
            <w:tcW w:w="1980" w:type="dxa"/>
            <w:shd w:val="clear" w:color="auto" w:fill="auto"/>
            <w:noWrap/>
            <w:hideMark/>
          </w:tcPr>
          <w:p w14:paraId="02352D2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4D130BF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180</w:t>
            </w:r>
          </w:p>
        </w:tc>
      </w:tr>
      <w:tr w:rsidR="008C2BAE" w:rsidRPr="008C2BAE" w14:paraId="4069EFC6" w14:textId="77777777" w:rsidTr="00860CDA">
        <w:trPr>
          <w:trHeight w:val="585"/>
        </w:trPr>
        <w:tc>
          <w:tcPr>
            <w:tcW w:w="4248" w:type="dxa"/>
            <w:shd w:val="clear" w:color="auto" w:fill="auto"/>
            <w:noWrap/>
            <w:hideMark/>
          </w:tcPr>
          <w:p w14:paraId="00C61D8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American Airlines Training and Conference Center</w:t>
            </w:r>
          </w:p>
        </w:tc>
        <w:tc>
          <w:tcPr>
            <w:tcW w:w="2700" w:type="dxa"/>
            <w:shd w:val="clear" w:color="auto" w:fill="auto"/>
            <w:noWrap/>
            <w:hideMark/>
          </w:tcPr>
          <w:p w14:paraId="4B67C24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4200 American Blvd 76155</w:t>
            </w:r>
          </w:p>
        </w:tc>
        <w:tc>
          <w:tcPr>
            <w:tcW w:w="1980" w:type="dxa"/>
            <w:shd w:val="clear" w:color="auto" w:fill="auto"/>
            <w:noWrap/>
            <w:hideMark/>
          </w:tcPr>
          <w:p w14:paraId="6695B9E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76155</w:t>
            </w:r>
          </w:p>
        </w:tc>
        <w:tc>
          <w:tcPr>
            <w:tcW w:w="720" w:type="dxa"/>
            <w:shd w:val="clear" w:color="auto" w:fill="auto"/>
            <w:noWrap/>
            <w:hideMark/>
          </w:tcPr>
          <w:p w14:paraId="190A6FA6"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299</w:t>
            </w:r>
          </w:p>
        </w:tc>
      </w:tr>
      <w:tr w:rsidR="008C2BAE" w:rsidRPr="008C2BAE" w14:paraId="58C0D902" w14:textId="77777777" w:rsidTr="00860CDA">
        <w:trPr>
          <w:trHeight w:val="585"/>
        </w:trPr>
        <w:tc>
          <w:tcPr>
            <w:tcW w:w="4248" w:type="dxa"/>
            <w:shd w:val="clear" w:color="auto" w:fill="auto"/>
            <w:noWrap/>
            <w:hideMark/>
          </w:tcPr>
          <w:p w14:paraId="3B2048C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Autograph Collection Downtown Fort Worth</w:t>
            </w:r>
          </w:p>
        </w:tc>
        <w:tc>
          <w:tcPr>
            <w:tcW w:w="2700" w:type="dxa"/>
            <w:shd w:val="clear" w:color="auto" w:fill="auto"/>
            <w:noWrap/>
            <w:hideMark/>
          </w:tcPr>
          <w:p w14:paraId="60960AC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512 Main St.</w:t>
            </w:r>
          </w:p>
        </w:tc>
        <w:tc>
          <w:tcPr>
            <w:tcW w:w="1980" w:type="dxa"/>
            <w:shd w:val="clear" w:color="auto" w:fill="auto"/>
            <w:noWrap/>
            <w:hideMark/>
          </w:tcPr>
          <w:p w14:paraId="772895D6"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6B09244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165</w:t>
            </w:r>
          </w:p>
        </w:tc>
      </w:tr>
      <w:tr w:rsidR="008C2BAE" w:rsidRPr="008C2BAE" w14:paraId="7BFB9DE0" w14:textId="77777777" w:rsidTr="00860CDA">
        <w:trPr>
          <w:trHeight w:val="585"/>
        </w:trPr>
        <w:tc>
          <w:tcPr>
            <w:tcW w:w="4248" w:type="dxa"/>
            <w:shd w:val="clear" w:color="auto" w:fill="auto"/>
            <w:noWrap/>
            <w:hideMark/>
          </w:tcPr>
          <w:p w14:paraId="79520441"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Budget Suites of America - Fossil Creek</w:t>
            </w:r>
          </w:p>
        </w:tc>
        <w:tc>
          <w:tcPr>
            <w:tcW w:w="2700" w:type="dxa"/>
            <w:shd w:val="clear" w:color="auto" w:fill="auto"/>
            <w:noWrap/>
            <w:hideMark/>
          </w:tcPr>
          <w:p w14:paraId="5A7A2C5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3500 NE Loop 820</w:t>
            </w:r>
          </w:p>
        </w:tc>
        <w:tc>
          <w:tcPr>
            <w:tcW w:w="1980" w:type="dxa"/>
            <w:shd w:val="clear" w:color="auto" w:fill="auto"/>
            <w:noWrap/>
            <w:hideMark/>
          </w:tcPr>
          <w:p w14:paraId="1C041A0A"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76137</w:t>
            </w:r>
          </w:p>
        </w:tc>
        <w:tc>
          <w:tcPr>
            <w:tcW w:w="720" w:type="dxa"/>
            <w:shd w:val="clear" w:color="auto" w:fill="auto"/>
            <w:noWrap/>
            <w:hideMark/>
          </w:tcPr>
          <w:p w14:paraId="6467C4F4"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366</w:t>
            </w:r>
          </w:p>
        </w:tc>
      </w:tr>
      <w:tr w:rsidR="008C2BAE" w:rsidRPr="008C2BAE" w14:paraId="0B5E5385" w14:textId="77777777" w:rsidTr="00860CDA">
        <w:trPr>
          <w:trHeight w:val="585"/>
        </w:trPr>
        <w:tc>
          <w:tcPr>
            <w:tcW w:w="4248" w:type="dxa"/>
            <w:shd w:val="clear" w:color="auto" w:fill="auto"/>
            <w:noWrap/>
            <w:hideMark/>
          </w:tcPr>
          <w:p w14:paraId="7EE4A763"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Candlewood Suites - DFW South</w:t>
            </w:r>
          </w:p>
        </w:tc>
        <w:tc>
          <w:tcPr>
            <w:tcW w:w="2700" w:type="dxa"/>
            <w:shd w:val="clear" w:color="auto" w:fill="auto"/>
            <w:noWrap/>
            <w:hideMark/>
          </w:tcPr>
          <w:p w14:paraId="24F67B53"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4200 </w:t>
            </w:r>
            <w:proofErr w:type="spellStart"/>
            <w:r w:rsidRPr="008C2BAE">
              <w:rPr>
                <w:rFonts w:ascii="Calibri" w:eastAsia="Calibri" w:hAnsi="Calibri"/>
                <w:color w:val="000000"/>
                <w:sz w:val="22"/>
                <w:szCs w:val="22"/>
              </w:rPr>
              <w:t>Reggis</w:t>
            </w:r>
            <w:proofErr w:type="spellEnd"/>
            <w:r w:rsidRPr="008C2BAE">
              <w:rPr>
                <w:rFonts w:ascii="Calibri" w:eastAsia="Calibri" w:hAnsi="Calibri"/>
                <w:color w:val="000000"/>
                <w:sz w:val="22"/>
                <w:szCs w:val="22"/>
              </w:rPr>
              <w:t xml:space="preserve"> Drive</w:t>
            </w:r>
          </w:p>
        </w:tc>
        <w:tc>
          <w:tcPr>
            <w:tcW w:w="1980" w:type="dxa"/>
            <w:shd w:val="clear" w:color="auto" w:fill="auto"/>
            <w:noWrap/>
            <w:hideMark/>
          </w:tcPr>
          <w:p w14:paraId="1EE5EA75"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76155</w:t>
            </w:r>
          </w:p>
        </w:tc>
        <w:tc>
          <w:tcPr>
            <w:tcW w:w="720" w:type="dxa"/>
            <w:shd w:val="clear" w:color="auto" w:fill="auto"/>
            <w:noWrap/>
            <w:hideMark/>
          </w:tcPr>
          <w:p w14:paraId="7560530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174</w:t>
            </w:r>
          </w:p>
        </w:tc>
      </w:tr>
      <w:tr w:rsidR="008C2BAE" w:rsidRPr="008C2BAE" w14:paraId="2C63C888" w14:textId="77777777" w:rsidTr="00860CDA">
        <w:trPr>
          <w:trHeight w:val="585"/>
        </w:trPr>
        <w:tc>
          <w:tcPr>
            <w:tcW w:w="4248" w:type="dxa"/>
            <w:shd w:val="clear" w:color="auto" w:fill="auto"/>
            <w:noWrap/>
            <w:hideMark/>
          </w:tcPr>
          <w:p w14:paraId="3CB6C14D"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Courtyard by Marriott - Alliance</w:t>
            </w:r>
          </w:p>
        </w:tc>
        <w:tc>
          <w:tcPr>
            <w:tcW w:w="2700" w:type="dxa"/>
            <w:shd w:val="clear" w:color="auto" w:fill="auto"/>
            <w:noWrap/>
            <w:hideMark/>
          </w:tcPr>
          <w:p w14:paraId="4A22725A"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3001 Amador Dr.</w:t>
            </w:r>
          </w:p>
        </w:tc>
        <w:tc>
          <w:tcPr>
            <w:tcW w:w="1980" w:type="dxa"/>
            <w:shd w:val="clear" w:color="auto" w:fill="auto"/>
            <w:noWrap/>
            <w:hideMark/>
          </w:tcPr>
          <w:p w14:paraId="2689B63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76177</w:t>
            </w:r>
          </w:p>
        </w:tc>
        <w:tc>
          <w:tcPr>
            <w:tcW w:w="720" w:type="dxa"/>
            <w:shd w:val="clear" w:color="auto" w:fill="auto"/>
            <w:noWrap/>
            <w:hideMark/>
          </w:tcPr>
          <w:p w14:paraId="0C1F6B4B"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127</w:t>
            </w:r>
          </w:p>
        </w:tc>
      </w:tr>
      <w:tr w:rsidR="008C2BAE" w:rsidRPr="008C2BAE" w14:paraId="44B40842" w14:textId="77777777" w:rsidTr="00860CDA">
        <w:trPr>
          <w:trHeight w:val="585"/>
        </w:trPr>
        <w:tc>
          <w:tcPr>
            <w:tcW w:w="4248" w:type="dxa"/>
            <w:shd w:val="clear" w:color="auto" w:fill="auto"/>
            <w:noWrap/>
            <w:hideMark/>
          </w:tcPr>
          <w:p w14:paraId="0B10CA4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Courtyard by Marriott - Blackstone</w:t>
            </w:r>
          </w:p>
        </w:tc>
        <w:tc>
          <w:tcPr>
            <w:tcW w:w="2700" w:type="dxa"/>
            <w:shd w:val="clear" w:color="auto" w:fill="auto"/>
            <w:noWrap/>
            <w:hideMark/>
          </w:tcPr>
          <w:p w14:paraId="1E2D84A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601 Main Street</w:t>
            </w:r>
          </w:p>
        </w:tc>
        <w:tc>
          <w:tcPr>
            <w:tcW w:w="1980" w:type="dxa"/>
            <w:shd w:val="clear" w:color="auto" w:fill="auto"/>
            <w:noWrap/>
            <w:hideMark/>
          </w:tcPr>
          <w:p w14:paraId="5345BEB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35B3904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203</w:t>
            </w:r>
          </w:p>
        </w:tc>
      </w:tr>
      <w:tr w:rsidR="008C2BAE" w:rsidRPr="008C2BAE" w14:paraId="3156B821" w14:textId="77777777" w:rsidTr="00860CDA">
        <w:trPr>
          <w:trHeight w:val="585"/>
        </w:trPr>
        <w:tc>
          <w:tcPr>
            <w:tcW w:w="4248" w:type="dxa"/>
            <w:shd w:val="clear" w:color="auto" w:fill="auto"/>
            <w:noWrap/>
            <w:hideMark/>
          </w:tcPr>
          <w:p w14:paraId="49AD927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Courtyard by Marriott - Fossil Creek</w:t>
            </w:r>
          </w:p>
        </w:tc>
        <w:tc>
          <w:tcPr>
            <w:tcW w:w="2700" w:type="dxa"/>
            <w:shd w:val="clear" w:color="auto" w:fill="auto"/>
            <w:noWrap/>
            <w:hideMark/>
          </w:tcPr>
          <w:p w14:paraId="22D975F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3751 NE Loop 820</w:t>
            </w:r>
          </w:p>
        </w:tc>
        <w:tc>
          <w:tcPr>
            <w:tcW w:w="1980" w:type="dxa"/>
            <w:shd w:val="clear" w:color="auto" w:fill="auto"/>
            <w:noWrap/>
            <w:hideMark/>
          </w:tcPr>
          <w:p w14:paraId="0B8F532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76137</w:t>
            </w:r>
          </w:p>
        </w:tc>
        <w:tc>
          <w:tcPr>
            <w:tcW w:w="720" w:type="dxa"/>
            <w:shd w:val="clear" w:color="auto" w:fill="auto"/>
            <w:noWrap/>
            <w:hideMark/>
          </w:tcPr>
          <w:p w14:paraId="1476EC5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154</w:t>
            </w:r>
          </w:p>
        </w:tc>
      </w:tr>
      <w:tr w:rsidR="008C2BAE" w:rsidRPr="008C2BAE" w14:paraId="24935113" w14:textId="77777777" w:rsidTr="00860CDA">
        <w:trPr>
          <w:trHeight w:val="585"/>
        </w:trPr>
        <w:tc>
          <w:tcPr>
            <w:tcW w:w="4248" w:type="dxa"/>
            <w:shd w:val="clear" w:color="auto" w:fill="auto"/>
            <w:noWrap/>
            <w:hideMark/>
          </w:tcPr>
          <w:p w14:paraId="66E285A1"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Courtyard by Marriott - Stockyards</w:t>
            </w:r>
          </w:p>
        </w:tc>
        <w:tc>
          <w:tcPr>
            <w:tcW w:w="2700" w:type="dxa"/>
            <w:shd w:val="clear" w:color="auto" w:fill="auto"/>
            <w:noWrap/>
            <w:hideMark/>
          </w:tcPr>
          <w:p w14:paraId="1B2D61C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2537 Main St.</w:t>
            </w:r>
          </w:p>
        </w:tc>
        <w:tc>
          <w:tcPr>
            <w:tcW w:w="1980" w:type="dxa"/>
            <w:shd w:val="clear" w:color="auto" w:fill="auto"/>
            <w:noWrap/>
            <w:hideMark/>
          </w:tcPr>
          <w:p w14:paraId="370E0064"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76164</w:t>
            </w:r>
          </w:p>
        </w:tc>
        <w:tc>
          <w:tcPr>
            <w:tcW w:w="720" w:type="dxa"/>
            <w:shd w:val="clear" w:color="auto" w:fill="auto"/>
            <w:noWrap/>
            <w:hideMark/>
          </w:tcPr>
          <w:p w14:paraId="2F31CD0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124</w:t>
            </w:r>
          </w:p>
        </w:tc>
      </w:tr>
      <w:tr w:rsidR="008C2BAE" w:rsidRPr="008C2BAE" w14:paraId="26274F9A" w14:textId="77777777" w:rsidTr="00860CDA">
        <w:trPr>
          <w:trHeight w:val="585"/>
        </w:trPr>
        <w:tc>
          <w:tcPr>
            <w:tcW w:w="4248" w:type="dxa"/>
            <w:shd w:val="clear" w:color="auto" w:fill="auto"/>
            <w:noWrap/>
            <w:hideMark/>
          </w:tcPr>
          <w:p w14:paraId="4299FCFA"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Courtyard by Marriott - University Drive</w:t>
            </w:r>
          </w:p>
        </w:tc>
        <w:tc>
          <w:tcPr>
            <w:tcW w:w="2700" w:type="dxa"/>
            <w:shd w:val="clear" w:color="auto" w:fill="auto"/>
            <w:noWrap/>
            <w:hideMark/>
          </w:tcPr>
          <w:p w14:paraId="288AC9B4"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3150 Riverfront</w:t>
            </w:r>
          </w:p>
        </w:tc>
        <w:tc>
          <w:tcPr>
            <w:tcW w:w="1980" w:type="dxa"/>
            <w:shd w:val="clear" w:color="auto" w:fill="auto"/>
            <w:noWrap/>
            <w:hideMark/>
          </w:tcPr>
          <w:p w14:paraId="6F68D1C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76107</w:t>
            </w:r>
          </w:p>
        </w:tc>
        <w:tc>
          <w:tcPr>
            <w:tcW w:w="720" w:type="dxa"/>
            <w:shd w:val="clear" w:color="auto" w:fill="auto"/>
            <w:noWrap/>
            <w:hideMark/>
          </w:tcPr>
          <w:p w14:paraId="2344EC3B"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130</w:t>
            </w:r>
          </w:p>
        </w:tc>
      </w:tr>
      <w:tr w:rsidR="008C2BAE" w:rsidRPr="008C2BAE" w14:paraId="318007DC" w14:textId="77777777" w:rsidTr="00860CDA">
        <w:trPr>
          <w:trHeight w:val="585"/>
        </w:trPr>
        <w:tc>
          <w:tcPr>
            <w:tcW w:w="4248" w:type="dxa"/>
            <w:shd w:val="clear" w:color="auto" w:fill="auto"/>
            <w:noWrap/>
            <w:hideMark/>
          </w:tcPr>
          <w:p w14:paraId="4D259B5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Courtyard by Marriott - West at </w:t>
            </w:r>
            <w:proofErr w:type="spellStart"/>
            <w:r w:rsidRPr="008C2BAE">
              <w:rPr>
                <w:rFonts w:ascii="Calibri" w:eastAsia="Calibri" w:hAnsi="Calibri"/>
                <w:color w:val="000000"/>
                <w:sz w:val="22"/>
                <w:szCs w:val="22"/>
              </w:rPr>
              <w:t>Cityview</w:t>
            </w:r>
            <w:proofErr w:type="spellEnd"/>
          </w:p>
        </w:tc>
        <w:tc>
          <w:tcPr>
            <w:tcW w:w="2700" w:type="dxa"/>
            <w:shd w:val="clear" w:color="auto" w:fill="auto"/>
            <w:noWrap/>
            <w:hideMark/>
          </w:tcPr>
          <w:p w14:paraId="36C43A2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6400 Overton Ridge Boulevard</w:t>
            </w:r>
          </w:p>
        </w:tc>
        <w:tc>
          <w:tcPr>
            <w:tcW w:w="1980" w:type="dxa"/>
            <w:shd w:val="clear" w:color="auto" w:fill="auto"/>
            <w:noWrap/>
            <w:hideMark/>
          </w:tcPr>
          <w:p w14:paraId="20F6FDAD"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76132</w:t>
            </w:r>
          </w:p>
        </w:tc>
        <w:tc>
          <w:tcPr>
            <w:tcW w:w="720" w:type="dxa"/>
            <w:shd w:val="clear" w:color="auto" w:fill="auto"/>
            <w:noWrap/>
            <w:hideMark/>
          </w:tcPr>
          <w:p w14:paraId="3E6E88B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104</w:t>
            </w:r>
          </w:p>
        </w:tc>
      </w:tr>
      <w:tr w:rsidR="008C2BAE" w:rsidRPr="008C2BAE" w14:paraId="37AAE01E" w14:textId="77777777" w:rsidTr="00860CDA">
        <w:trPr>
          <w:trHeight w:val="585"/>
        </w:trPr>
        <w:tc>
          <w:tcPr>
            <w:tcW w:w="4248" w:type="dxa"/>
            <w:shd w:val="clear" w:color="auto" w:fill="auto"/>
            <w:noWrap/>
            <w:hideMark/>
          </w:tcPr>
          <w:p w14:paraId="17BA56EB" w14:textId="77777777" w:rsidR="008C2BAE" w:rsidRPr="008C2BAE" w:rsidRDefault="008C2BAE" w:rsidP="008C2BAE">
            <w:pPr>
              <w:widowControl/>
              <w:autoSpaceDE/>
              <w:autoSpaceDN/>
              <w:rPr>
                <w:rFonts w:ascii="Calibri" w:eastAsia="Calibri" w:hAnsi="Calibri"/>
                <w:color w:val="000000"/>
                <w:sz w:val="22"/>
                <w:szCs w:val="22"/>
              </w:rPr>
            </w:pPr>
            <w:proofErr w:type="spellStart"/>
            <w:r w:rsidRPr="008C2BAE">
              <w:rPr>
                <w:rFonts w:ascii="Calibri" w:eastAsia="Calibri" w:hAnsi="Calibri"/>
                <w:color w:val="000000"/>
                <w:sz w:val="22"/>
                <w:szCs w:val="22"/>
              </w:rPr>
              <w:t>Crossland</w:t>
            </w:r>
            <w:proofErr w:type="spellEnd"/>
            <w:r w:rsidRPr="008C2BAE">
              <w:rPr>
                <w:rFonts w:ascii="Calibri" w:eastAsia="Calibri" w:hAnsi="Calibri"/>
                <w:color w:val="000000"/>
                <w:sz w:val="22"/>
                <w:szCs w:val="22"/>
              </w:rPr>
              <w:t xml:space="preserve"> Economy Studios - Fossil Creek</w:t>
            </w:r>
          </w:p>
        </w:tc>
        <w:tc>
          <w:tcPr>
            <w:tcW w:w="2700" w:type="dxa"/>
            <w:shd w:val="clear" w:color="auto" w:fill="auto"/>
            <w:noWrap/>
            <w:hideMark/>
          </w:tcPr>
          <w:p w14:paraId="62A5409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3804 </w:t>
            </w:r>
            <w:proofErr w:type="spellStart"/>
            <w:r w:rsidRPr="008C2BAE">
              <w:rPr>
                <w:rFonts w:ascii="Calibri" w:eastAsia="Calibri" w:hAnsi="Calibri"/>
                <w:color w:val="000000"/>
                <w:sz w:val="22"/>
                <w:szCs w:val="22"/>
              </w:rPr>
              <w:t>Tanacross</w:t>
            </w:r>
            <w:proofErr w:type="spellEnd"/>
          </w:p>
        </w:tc>
        <w:tc>
          <w:tcPr>
            <w:tcW w:w="1980" w:type="dxa"/>
            <w:shd w:val="clear" w:color="auto" w:fill="auto"/>
            <w:noWrap/>
            <w:hideMark/>
          </w:tcPr>
          <w:p w14:paraId="78AC1581"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76137</w:t>
            </w:r>
          </w:p>
        </w:tc>
        <w:tc>
          <w:tcPr>
            <w:tcW w:w="720" w:type="dxa"/>
            <w:shd w:val="clear" w:color="auto" w:fill="auto"/>
            <w:noWrap/>
            <w:hideMark/>
          </w:tcPr>
          <w:p w14:paraId="7CC1F39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124</w:t>
            </w:r>
          </w:p>
        </w:tc>
      </w:tr>
      <w:tr w:rsidR="008C2BAE" w:rsidRPr="008C2BAE" w14:paraId="7E7DD21F" w14:textId="77777777" w:rsidTr="00860CDA">
        <w:trPr>
          <w:trHeight w:val="585"/>
        </w:trPr>
        <w:tc>
          <w:tcPr>
            <w:tcW w:w="4248" w:type="dxa"/>
            <w:shd w:val="clear" w:color="auto" w:fill="auto"/>
            <w:noWrap/>
            <w:hideMark/>
          </w:tcPr>
          <w:p w14:paraId="3164A6E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Dalworth Inn</w:t>
            </w:r>
          </w:p>
        </w:tc>
        <w:tc>
          <w:tcPr>
            <w:tcW w:w="2700" w:type="dxa"/>
            <w:shd w:val="clear" w:color="auto" w:fill="auto"/>
            <w:noWrap/>
            <w:hideMark/>
          </w:tcPr>
          <w:p w14:paraId="7D63DB1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812 E. Felix Street</w:t>
            </w:r>
          </w:p>
        </w:tc>
        <w:tc>
          <w:tcPr>
            <w:tcW w:w="1980" w:type="dxa"/>
            <w:shd w:val="clear" w:color="auto" w:fill="auto"/>
            <w:noWrap/>
            <w:hideMark/>
          </w:tcPr>
          <w:p w14:paraId="7AD9B04A"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76115</w:t>
            </w:r>
          </w:p>
        </w:tc>
        <w:tc>
          <w:tcPr>
            <w:tcW w:w="720" w:type="dxa"/>
            <w:shd w:val="clear" w:color="auto" w:fill="auto"/>
            <w:noWrap/>
            <w:hideMark/>
          </w:tcPr>
          <w:p w14:paraId="0C4CEF1D"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120</w:t>
            </w:r>
          </w:p>
        </w:tc>
      </w:tr>
      <w:tr w:rsidR="008C2BAE" w:rsidRPr="008C2BAE" w14:paraId="19FEAAE0" w14:textId="77777777" w:rsidTr="00860CDA">
        <w:trPr>
          <w:trHeight w:val="585"/>
        </w:trPr>
        <w:tc>
          <w:tcPr>
            <w:tcW w:w="4248" w:type="dxa"/>
            <w:shd w:val="clear" w:color="auto" w:fill="auto"/>
            <w:noWrap/>
            <w:hideMark/>
          </w:tcPr>
          <w:p w14:paraId="3BF2DE0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DFW Airport Marriott South</w:t>
            </w:r>
          </w:p>
        </w:tc>
        <w:tc>
          <w:tcPr>
            <w:tcW w:w="2700" w:type="dxa"/>
            <w:shd w:val="clear" w:color="auto" w:fill="auto"/>
            <w:noWrap/>
            <w:hideMark/>
          </w:tcPr>
          <w:p w14:paraId="6F3BB80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4151 </w:t>
            </w:r>
            <w:proofErr w:type="spellStart"/>
            <w:r w:rsidRPr="008C2BAE">
              <w:rPr>
                <w:rFonts w:ascii="Calibri" w:eastAsia="Calibri" w:hAnsi="Calibri"/>
                <w:color w:val="000000"/>
                <w:sz w:val="22"/>
                <w:szCs w:val="22"/>
              </w:rPr>
              <w:t>Centreport</w:t>
            </w:r>
            <w:proofErr w:type="spellEnd"/>
            <w:r w:rsidRPr="008C2BAE">
              <w:rPr>
                <w:rFonts w:ascii="Calibri" w:eastAsia="Calibri" w:hAnsi="Calibri"/>
                <w:color w:val="000000"/>
                <w:sz w:val="22"/>
                <w:szCs w:val="22"/>
              </w:rPr>
              <w:t xml:space="preserve"> Boulevard</w:t>
            </w:r>
          </w:p>
        </w:tc>
        <w:tc>
          <w:tcPr>
            <w:tcW w:w="1980" w:type="dxa"/>
            <w:shd w:val="clear" w:color="auto" w:fill="auto"/>
            <w:noWrap/>
            <w:hideMark/>
          </w:tcPr>
          <w:p w14:paraId="61100BC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76155</w:t>
            </w:r>
          </w:p>
        </w:tc>
        <w:tc>
          <w:tcPr>
            <w:tcW w:w="720" w:type="dxa"/>
            <w:shd w:val="clear" w:color="auto" w:fill="auto"/>
            <w:noWrap/>
            <w:hideMark/>
          </w:tcPr>
          <w:p w14:paraId="3FA0E1A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295</w:t>
            </w:r>
          </w:p>
        </w:tc>
      </w:tr>
      <w:tr w:rsidR="008C2BAE" w:rsidRPr="008C2BAE" w14:paraId="713BCF02" w14:textId="77777777" w:rsidTr="00860CDA">
        <w:trPr>
          <w:trHeight w:val="585"/>
        </w:trPr>
        <w:tc>
          <w:tcPr>
            <w:tcW w:w="4248" w:type="dxa"/>
            <w:shd w:val="clear" w:color="auto" w:fill="auto"/>
            <w:noWrap/>
            <w:hideMark/>
          </w:tcPr>
          <w:p w14:paraId="59EE24F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DFW Marriott Hotel and Golf Club at Champions Circle</w:t>
            </w:r>
          </w:p>
        </w:tc>
        <w:tc>
          <w:tcPr>
            <w:tcW w:w="2700" w:type="dxa"/>
            <w:shd w:val="clear" w:color="auto" w:fill="auto"/>
            <w:noWrap/>
            <w:hideMark/>
          </w:tcPr>
          <w:p w14:paraId="200D36E1"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3300 Championship Pkwy</w:t>
            </w:r>
          </w:p>
        </w:tc>
        <w:tc>
          <w:tcPr>
            <w:tcW w:w="1980" w:type="dxa"/>
            <w:shd w:val="clear" w:color="auto" w:fill="auto"/>
            <w:noWrap/>
            <w:hideMark/>
          </w:tcPr>
          <w:p w14:paraId="35FF2816"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76177</w:t>
            </w:r>
          </w:p>
        </w:tc>
        <w:tc>
          <w:tcPr>
            <w:tcW w:w="720" w:type="dxa"/>
            <w:shd w:val="clear" w:color="auto" w:fill="auto"/>
            <w:noWrap/>
            <w:hideMark/>
          </w:tcPr>
          <w:p w14:paraId="18B19F5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286</w:t>
            </w:r>
          </w:p>
        </w:tc>
      </w:tr>
      <w:tr w:rsidR="008C2BAE" w:rsidRPr="008C2BAE" w14:paraId="336E343D" w14:textId="77777777" w:rsidTr="00860CDA">
        <w:trPr>
          <w:trHeight w:val="585"/>
        </w:trPr>
        <w:tc>
          <w:tcPr>
            <w:tcW w:w="4248" w:type="dxa"/>
            <w:shd w:val="clear" w:color="auto" w:fill="auto"/>
            <w:noWrap/>
            <w:hideMark/>
          </w:tcPr>
          <w:p w14:paraId="1E81753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Embassy Suites Hotel - Downtown Fort Worth</w:t>
            </w:r>
          </w:p>
        </w:tc>
        <w:tc>
          <w:tcPr>
            <w:tcW w:w="2700" w:type="dxa"/>
            <w:shd w:val="clear" w:color="auto" w:fill="auto"/>
            <w:noWrap/>
            <w:hideMark/>
          </w:tcPr>
          <w:p w14:paraId="677A91A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600 Commerce Street</w:t>
            </w:r>
          </w:p>
        </w:tc>
        <w:tc>
          <w:tcPr>
            <w:tcW w:w="1980" w:type="dxa"/>
            <w:shd w:val="clear" w:color="auto" w:fill="auto"/>
            <w:noWrap/>
            <w:hideMark/>
          </w:tcPr>
          <w:p w14:paraId="64318E6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5C2FDE4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156</w:t>
            </w:r>
          </w:p>
        </w:tc>
      </w:tr>
      <w:tr w:rsidR="008C2BAE" w:rsidRPr="008C2BAE" w14:paraId="5F41E3E7" w14:textId="77777777" w:rsidTr="00860CDA">
        <w:trPr>
          <w:trHeight w:val="585"/>
        </w:trPr>
        <w:tc>
          <w:tcPr>
            <w:tcW w:w="4248" w:type="dxa"/>
            <w:shd w:val="clear" w:color="auto" w:fill="auto"/>
            <w:noWrap/>
            <w:hideMark/>
          </w:tcPr>
          <w:p w14:paraId="25D6CCB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Extended Stay America - City View</w:t>
            </w:r>
          </w:p>
        </w:tc>
        <w:tc>
          <w:tcPr>
            <w:tcW w:w="2700" w:type="dxa"/>
            <w:shd w:val="clear" w:color="auto" w:fill="auto"/>
            <w:noWrap/>
            <w:hideMark/>
          </w:tcPr>
          <w:p w14:paraId="3C78906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5831 Overton Ridge Blvd</w:t>
            </w:r>
          </w:p>
        </w:tc>
        <w:tc>
          <w:tcPr>
            <w:tcW w:w="1980" w:type="dxa"/>
            <w:shd w:val="clear" w:color="auto" w:fill="auto"/>
            <w:noWrap/>
            <w:hideMark/>
          </w:tcPr>
          <w:p w14:paraId="784885E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76132</w:t>
            </w:r>
          </w:p>
        </w:tc>
        <w:tc>
          <w:tcPr>
            <w:tcW w:w="720" w:type="dxa"/>
            <w:shd w:val="clear" w:color="auto" w:fill="auto"/>
            <w:noWrap/>
            <w:hideMark/>
          </w:tcPr>
          <w:p w14:paraId="1146AC05"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104</w:t>
            </w:r>
          </w:p>
        </w:tc>
      </w:tr>
      <w:tr w:rsidR="008C2BAE" w:rsidRPr="008C2BAE" w14:paraId="1AAA418D" w14:textId="77777777" w:rsidTr="00860CDA">
        <w:trPr>
          <w:trHeight w:val="585"/>
        </w:trPr>
        <w:tc>
          <w:tcPr>
            <w:tcW w:w="4248" w:type="dxa"/>
            <w:shd w:val="clear" w:color="auto" w:fill="auto"/>
            <w:noWrap/>
            <w:hideMark/>
          </w:tcPr>
          <w:p w14:paraId="7DD0F59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Fairfield Inn &amp; Suites Downtown</w:t>
            </w:r>
          </w:p>
        </w:tc>
        <w:tc>
          <w:tcPr>
            <w:tcW w:w="2700" w:type="dxa"/>
            <w:shd w:val="clear" w:color="auto" w:fill="auto"/>
            <w:noWrap/>
            <w:hideMark/>
          </w:tcPr>
          <w:p w14:paraId="5469EE61"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1010 Houston</w:t>
            </w:r>
          </w:p>
        </w:tc>
        <w:tc>
          <w:tcPr>
            <w:tcW w:w="1980" w:type="dxa"/>
            <w:shd w:val="clear" w:color="auto" w:fill="auto"/>
            <w:noWrap/>
            <w:hideMark/>
          </w:tcPr>
          <w:p w14:paraId="7EEAE151"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13D2D7B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110</w:t>
            </w:r>
          </w:p>
        </w:tc>
      </w:tr>
      <w:tr w:rsidR="008C2BAE" w:rsidRPr="008C2BAE" w14:paraId="3AED7597" w14:textId="77777777" w:rsidTr="00860CDA">
        <w:trPr>
          <w:trHeight w:val="585"/>
        </w:trPr>
        <w:tc>
          <w:tcPr>
            <w:tcW w:w="4248" w:type="dxa"/>
            <w:shd w:val="clear" w:color="auto" w:fill="auto"/>
            <w:noWrap/>
            <w:hideMark/>
          </w:tcPr>
          <w:p w14:paraId="10A18F4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lastRenderedPageBreak/>
              <w:t>Fairfield Inn &amp; Suites Fossil Creek</w:t>
            </w:r>
          </w:p>
        </w:tc>
        <w:tc>
          <w:tcPr>
            <w:tcW w:w="2700" w:type="dxa"/>
            <w:shd w:val="clear" w:color="auto" w:fill="auto"/>
            <w:noWrap/>
            <w:hideMark/>
          </w:tcPr>
          <w:p w14:paraId="21031E9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3701 NE Loop 820</w:t>
            </w:r>
          </w:p>
        </w:tc>
        <w:tc>
          <w:tcPr>
            <w:tcW w:w="1980" w:type="dxa"/>
            <w:shd w:val="clear" w:color="auto" w:fill="auto"/>
            <w:noWrap/>
            <w:hideMark/>
          </w:tcPr>
          <w:p w14:paraId="0FBA5C3B"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76137</w:t>
            </w:r>
          </w:p>
        </w:tc>
        <w:tc>
          <w:tcPr>
            <w:tcW w:w="720" w:type="dxa"/>
            <w:shd w:val="clear" w:color="auto" w:fill="auto"/>
            <w:noWrap/>
            <w:hideMark/>
          </w:tcPr>
          <w:p w14:paraId="7B710C3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106</w:t>
            </w:r>
          </w:p>
        </w:tc>
      </w:tr>
      <w:tr w:rsidR="008C2BAE" w:rsidRPr="008C2BAE" w14:paraId="008AA0DF" w14:textId="77777777" w:rsidTr="00860CDA">
        <w:trPr>
          <w:trHeight w:val="585"/>
        </w:trPr>
        <w:tc>
          <w:tcPr>
            <w:tcW w:w="4248" w:type="dxa"/>
            <w:shd w:val="clear" w:color="auto" w:fill="auto"/>
            <w:noWrap/>
            <w:hideMark/>
          </w:tcPr>
          <w:p w14:paraId="42C4E7C4"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Hampton Inn and Suites -  West/I-30</w:t>
            </w:r>
          </w:p>
        </w:tc>
        <w:tc>
          <w:tcPr>
            <w:tcW w:w="2700" w:type="dxa"/>
            <w:shd w:val="clear" w:color="auto" w:fill="auto"/>
            <w:noWrap/>
            <w:hideMark/>
          </w:tcPr>
          <w:p w14:paraId="16FC0FBD"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2700 Green Oaks </w:t>
            </w:r>
          </w:p>
        </w:tc>
        <w:tc>
          <w:tcPr>
            <w:tcW w:w="1980" w:type="dxa"/>
            <w:shd w:val="clear" w:color="auto" w:fill="auto"/>
            <w:noWrap/>
            <w:hideMark/>
          </w:tcPr>
          <w:p w14:paraId="5EF48EB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76177</w:t>
            </w:r>
          </w:p>
        </w:tc>
        <w:tc>
          <w:tcPr>
            <w:tcW w:w="720" w:type="dxa"/>
            <w:shd w:val="clear" w:color="auto" w:fill="auto"/>
            <w:noWrap/>
            <w:hideMark/>
          </w:tcPr>
          <w:p w14:paraId="6713E024"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105</w:t>
            </w:r>
          </w:p>
        </w:tc>
      </w:tr>
      <w:tr w:rsidR="008C2BAE" w:rsidRPr="008C2BAE" w14:paraId="1B9A9D5A" w14:textId="77777777" w:rsidTr="00860CDA">
        <w:trPr>
          <w:trHeight w:val="585"/>
        </w:trPr>
        <w:tc>
          <w:tcPr>
            <w:tcW w:w="4248" w:type="dxa"/>
            <w:shd w:val="clear" w:color="auto" w:fill="auto"/>
            <w:noWrap/>
            <w:hideMark/>
          </w:tcPr>
          <w:p w14:paraId="614A2BA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Hampton Inn and Suites - DFW South</w:t>
            </w:r>
          </w:p>
        </w:tc>
        <w:tc>
          <w:tcPr>
            <w:tcW w:w="2700" w:type="dxa"/>
            <w:shd w:val="clear" w:color="auto" w:fill="auto"/>
            <w:noWrap/>
            <w:hideMark/>
          </w:tcPr>
          <w:p w14:paraId="757A938B"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4201 </w:t>
            </w:r>
            <w:proofErr w:type="spellStart"/>
            <w:r w:rsidRPr="008C2BAE">
              <w:rPr>
                <w:rFonts w:ascii="Calibri" w:eastAsia="Calibri" w:hAnsi="Calibri"/>
                <w:color w:val="000000"/>
                <w:sz w:val="22"/>
                <w:szCs w:val="22"/>
              </w:rPr>
              <w:t>Reggis</w:t>
            </w:r>
            <w:proofErr w:type="spellEnd"/>
            <w:r w:rsidRPr="008C2BAE">
              <w:rPr>
                <w:rFonts w:ascii="Calibri" w:eastAsia="Calibri" w:hAnsi="Calibri"/>
                <w:color w:val="000000"/>
                <w:sz w:val="22"/>
                <w:szCs w:val="22"/>
              </w:rPr>
              <w:t xml:space="preserve"> Court</w:t>
            </w:r>
          </w:p>
        </w:tc>
        <w:tc>
          <w:tcPr>
            <w:tcW w:w="1980" w:type="dxa"/>
            <w:shd w:val="clear" w:color="auto" w:fill="auto"/>
            <w:noWrap/>
            <w:hideMark/>
          </w:tcPr>
          <w:p w14:paraId="7A7B1EE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76155</w:t>
            </w:r>
          </w:p>
        </w:tc>
        <w:tc>
          <w:tcPr>
            <w:tcW w:w="720" w:type="dxa"/>
            <w:shd w:val="clear" w:color="auto" w:fill="auto"/>
            <w:noWrap/>
            <w:hideMark/>
          </w:tcPr>
          <w:p w14:paraId="605E456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116</w:t>
            </w:r>
          </w:p>
        </w:tc>
      </w:tr>
      <w:tr w:rsidR="008C2BAE" w:rsidRPr="008C2BAE" w14:paraId="1DEFF0AE" w14:textId="77777777" w:rsidTr="00860CDA">
        <w:trPr>
          <w:trHeight w:val="585"/>
        </w:trPr>
        <w:tc>
          <w:tcPr>
            <w:tcW w:w="4248" w:type="dxa"/>
            <w:shd w:val="clear" w:color="auto" w:fill="auto"/>
            <w:noWrap/>
            <w:hideMark/>
          </w:tcPr>
          <w:p w14:paraId="15933A0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Hampton Inn and Suites Downtown Fort Worth</w:t>
            </w:r>
          </w:p>
        </w:tc>
        <w:tc>
          <w:tcPr>
            <w:tcW w:w="2700" w:type="dxa"/>
            <w:shd w:val="clear" w:color="auto" w:fill="auto"/>
            <w:noWrap/>
            <w:hideMark/>
          </w:tcPr>
          <w:p w14:paraId="4C24BD3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210 E. 9th Street</w:t>
            </w:r>
          </w:p>
        </w:tc>
        <w:tc>
          <w:tcPr>
            <w:tcW w:w="1980" w:type="dxa"/>
            <w:shd w:val="clear" w:color="auto" w:fill="auto"/>
            <w:noWrap/>
            <w:hideMark/>
          </w:tcPr>
          <w:p w14:paraId="387C793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1A432BB1"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245</w:t>
            </w:r>
          </w:p>
        </w:tc>
      </w:tr>
      <w:tr w:rsidR="008C2BAE" w:rsidRPr="008C2BAE" w14:paraId="4D4C0843" w14:textId="77777777" w:rsidTr="00860CDA">
        <w:trPr>
          <w:trHeight w:val="585"/>
        </w:trPr>
        <w:tc>
          <w:tcPr>
            <w:tcW w:w="4248" w:type="dxa"/>
            <w:shd w:val="clear" w:color="auto" w:fill="auto"/>
            <w:noWrap/>
            <w:hideMark/>
          </w:tcPr>
          <w:p w14:paraId="18F112B6"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Hawthorn Suites - University</w:t>
            </w:r>
          </w:p>
        </w:tc>
        <w:tc>
          <w:tcPr>
            <w:tcW w:w="2700" w:type="dxa"/>
            <w:shd w:val="clear" w:color="auto" w:fill="auto"/>
            <w:noWrap/>
            <w:hideMark/>
          </w:tcPr>
          <w:p w14:paraId="73679F3D"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1701 South University Drive</w:t>
            </w:r>
          </w:p>
        </w:tc>
        <w:tc>
          <w:tcPr>
            <w:tcW w:w="1980" w:type="dxa"/>
            <w:shd w:val="clear" w:color="auto" w:fill="auto"/>
            <w:noWrap/>
            <w:hideMark/>
          </w:tcPr>
          <w:p w14:paraId="6954E02B"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76107</w:t>
            </w:r>
          </w:p>
        </w:tc>
        <w:tc>
          <w:tcPr>
            <w:tcW w:w="720" w:type="dxa"/>
            <w:shd w:val="clear" w:color="auto" w:fill="auto"/>
            <w:noWrap/>
            <w:hideMark/>
          </w:tcPr>
          <w:p w14:paraId="7828B8F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120</w:t>
            </w:r>
          </w:p>
        </w:tc>
      </w:tr>
      <w:tr w:rsidR="008C2BAE" w:rsidRPr="008C2BAE" w14:paraId="1A00C293" w14:textId="77777777" w:rsidTr="00860CDA">
        <w:trPr>
          <w:trHeight w:val="585"/>
        </w:trPr>
        <w:tc>
          <w:tcPr>
            <w:tcW w:w="4248" w:type="dxa"/>
            <w:shd w:val="clear" w:color="auto" w:fill="auto"/>
            <w:noWrap/>
            <w:hideMark/>
          </w:tcPr>
          <w:p w14:paraId="78E5BED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Hilton Fort Worth</w:t>
            </w:r>
          </w:p>
        </w:tc>
        <w:tc>
          <w:tcPr>
            <w:tcW w:w="2700" w:type="dxa"/>
            <w:shd w:val="clear" w:color="auto" w:fill="auto"/>
            <w:noWrap/>
            <w:hideMark/>
          </w:tcPr>
          <w:p w14:paraId="20D7296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815 Main Street</w:t>
            </w:r>
          </w:p>
        </w:tc>
        <w:tc>
          <w:tcPr>
            <w:tcW w:w="1980" w:type="dxa"/>
            <w:shd w:val="clear" w:color="auto" w:fill="auto"/>
            <w:noWrap/>
            <w:hideMark/>
          </w:tcPr>
          <w:p w14:paraId="795C3273"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6108646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294</w:t>
            </w:r>
          </w:p>
        </w:tc>
      </w:tr>
      <w:tr w:rsidR="008C2BAE" w:rsidRPr="008C2BAE" w14:paraId="5F342A96" w14:textId="77777777" w:rsidTr="00860CDA">
        <w:trPr>
          <w:trHeight w:val="585"/>
        </w:trPr>
        <w:tc>
          <w:tcPr>
            <w:tcW w:w="4248" w:type="dxa"/>
            <w:shd w:val="clear" w:color="auto" w:fill="auto"/>
            <w:noWrap/>
            <w:hideMark/>
          </w:tcPr>
          <w:p w14:paraId="2A353E3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Hilton Garden Inn - Fort Worth Alliance Airport</w:t>
            </w:r>
          </w:p>
        </w:tc>
        <w:tc>
          <w:tcPr>
            <w:tcW w:w="2700" w:type="dxa"/>
            <w:shd w:val="clear" w:color="auto" w:fill="auto"/>
            <w:noWrap/>
            <w:hideMark/>
          </w:tcPr>
          <w:p w14:paraId="57A1BD3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2600 Westport Parkway</w:t>
            </w:r>
          </w:p>
        </w:tc>
        <w:tc>
          <w:tcPr>
            <w:tcW w:w="1980" w:type="dxa"/>
            <w:shd w:val="clear" w:color="auto" w:fill="auto"/>
            <w:noWrap/>
            <w:hideMark/>
          </w:tcPr>
          <w:p w14:paraId="72E5E2DD"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76177</w:t>
            </w:r>
          </w:p>
        </w:tc>
        <w:tc>
          <w:tcPr>
            <w:tcW w:w="720" w:type="dxa"/>
            <w:shd w:val="clear" w:color="auto" w:fill="auto"/>
            <w:noWrap/>
            <w:hideMark/>
          </w:tcPr>
          <w:p w14:paraId="783D3556"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127</w:t>
            </w:r>
          </w:p>
        </w:tc>
      </w:tr>
      <w:tr w:rsidR="008C2BAE" w:rsidRPr="008C2BAE" w14:paraId="3A43B03E" w14:textId="77777777" w:rsidTr="00860CDA">
        <w:trPr>
          <w:trHeight w:val="585"/>
        </w:trPr>
        <w:tc>
          <w:tcPr>
            <w:tcW w:w="4248" w:type="dxa"/>
            <w:shd w:val="clear" w:color="auto" w:fill="auto"/>
            <w:noWrap/>
            <w:hideMark/>
          </w:tcPr>
          <w:p w14:paraId="6F52B08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Hilton Garden Inn - Medical Center</w:t>
            </w:r>
          </w:p>
        </w:tc>
        <w:tc>
          <w:tcPr>
            <w:tcW w:w="2700" w:type="dxa"/>
            <w:shd w:val="clear" w:color="auto" w:fill="auto"/>
            <w:noWrap/>
            <w:hideMark/>
          </w:tcPr>
          <w:p w14:paraId="524C1F4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912 </w:t>
            </w:r>
            <w:proofErr w:type="spellStart"/>
            <w:r w:rsidRPr="008C2BAE">
              <w:rPr>
                <w:rFonts w:ascii="Calibri" w:eastAsia="Calibri" w:hAnsi="Calibri"/>
                <w:color w:val="000000"/>
                <w:sz w:val="22"/>
                <w:szCs w:val="22"/>
              </w:rPr>
              <w:t>Northton</w:t>
            </w:r>
            <w:proofErr w:type="spellEnd"/>
            <w:r w:rsidRPr="008C2BAE">
              <w:rPr>
                <w:rFonts w:ascii="Calibri" w:eastAsia="Calibri" w:hAnsi="Calibri"/>
                <w:color w:val="000000"/>
                <w:sz w:val="22"/>
                <w:szCs w:val="22"/>
              </w:rPr>
              <w:t xml:space="preserve"> Street</w:t>
            </w:r>
          </w:p>
        </w:tc>
        <w:tc>
          <w:tcPr>
            <w:tcW w:w="1980" w:type="dxa"/>
            <w:shd w:val="clear" w:color="auto" w:fill="auto"/>
            <w:noWrap/>
            <w:hideMark/>
          </w:tcPr>
          <w:p w14:paraId="4D591C5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76104</w:t>
            </w:r>
          </w:p>
        </w:tc>
        <w:tc>
          <w:tcPr>
            <w:tcW w:w="720" w:type="dxa"/>
            <w:shd w:val="clear" w:color="auto" w:fill="auto"/>
            <w:noWrap/>
            <w:hideMark/>
          </w:tcPr>
          <w:p w14:paraId="6EA13A3A"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157</w:t>
            </w:r>
          </w:p>
        </w:tc>
      </w:tr>
      <w:tr w:rsidR="008C2BAE" w:rsidRPr="008C2BAE" w14:paraId="423D99F1" w14:textId="77777777" w:rsidTr="00860CDA">
        <w:trPr>
          <w:trHeight w:val="585"/>
        </w:trPr>
        <w:tc>
          <w:tcPr>
            <w:tcW w:w="4248" w:type="dxa"/>
            <w:shd w:val="clear" w:color="auto" w:fill="auto"/>
            <w:noWrap/>
            <w:hideMark/>
          </w:tcPr>
          <w:p w14:paraId="51CD0706"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Holiday Inn - DFW Airport South</w:t>
            </w:r>
          </w:p>
        </w:tc>
        <w:tc>
          <w:tcPr>
            <w:tcW w:w="2700" w:type="dxa"/>
            <w:shd w:val="clear" w:color="auto" w:fill="auto"/>
            <w:noWrap/>
            <w:hideMark/>
          </w:tcPr>
          <w:p w14:paraId="41935C7A"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14320 Centre Station Road</w:t>
            </w:r>
          </w:p>
        </w:tc>
        <w:tc>
          <w:tcPr>
            <w:tcW w:w="1980" w:type="dxa"/>
            <w:shd w:val="clear" w:color="auto" w:fill="auto"/>
            <w:noWrap/>
            <w:hideMark/>
          </w:tcPr>
          <w:p w14:paraId="4D4F925B"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76155</w:t>
            </w:r>
          </w:p>
        </w:tc>
        <w:tc>
          <w:tcPr>
            <w:tcW w:w="720" w:type="dxa"/>
            <w:shd w:val="clear" w:color="auto" w:fill="auto"/>
            <w:noWrap/>
            <w:hideMark/>
          </w:tcPr>
          <w:p w14:paraId="00AE8554"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143</w:t>
            </w:r>
          </w:p>
        </w:tc>
      </w:tr>
      <w:tr w:rsidR="008C2BAE" w:rsidRPr="008C2BAE" w14:paraId="47DF407C" w14:textId="77777777" w:rsidTr="00860CDA">
        <w:trPr>
          <w:trHeight w:val="585"/>
        </w:trPr>
        <w:tc>
          <w:tcPr>
            <w:tcW w:w="4248" w:type="dxa"/>
            <w:shd w:val="clear" w:color="auto" w:fill="auto"/>
            <w:noWrap/>
            <w:hideMark/>
          </w:tcPr>
          <w:p w14:paraId="504795C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Holiday Inn Express - Downtown</w:t>
            </w:r>
          </w:p>
        </w:tc>
        <w:tc>
          <w:tcPr>
            <w:tcW w:w="2700" w:type="dxa"/>
            <w:shd w:val="clear" w:color="auto" w:fill="auto"/>
            <w:noWrap/>
            <w:hideMark/>
          </w:tcPr>
          <w:p w14:paraId="6549054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1111 W Lancaster</w:t>
            </w:r>
          </w:p>
        </w:tc>
        <w:tc>
          <w:tcPr>
            <w:tcW w:w="1980" w:type="dxa"/>
            <w:shd w:val="clear" w:color="auto" w:fill="auto"/>
            <w:noWrap/>
            <w:hideMark/>
          </w:tcPr>
          <w:p w14:paraId="3D5D1BF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38058C2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132</w:t>
            </w:r>
          </w:p>
        </w:tc>
      </w:tr>
      <w:tr w:rsidR="008C2BAE" w:rsidRPr="008C2BAE" w14:paraId="058D7014" w14:textId="77777777" w:rsidTr="00860CDA">
        <w:trPr>
          <w:trHeight w:val="585"/>
        </w:trPr>
        <w:tc>
          <w:tcPr>
            <w:tcW w:w="4248" w:type="dxa"/>
            <w:shd w:val="clear" w:color="auto" w:fill="auto"/>
            <w:noWrap/>
            <w:hideMark/>
          </w:tcPr>
          <w:p w14:paraId="5AB9C05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Holiday Inn North - Fossil Creek</w:t>
            </w:r>
          </w:p>
        </w:tc>
        <w:tc>
          <w:tcPr>
            <w:tcW w:w="2700" w:type="dxa"/>
            <w:shd w:val="clear" w:color="auto" w:fill="auto"/>
            <w:noWrap/>
            <w:hideMark/>
          </w:tcPr>
          <w:p w14:paraId="2314CE01"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4635 Gemini Place</w:t>
            </w:r>
          </w:p>
        </w:tc>
        <w:tc>
          <w:tcPr>
            <w:tcW w:w="1980" w:type="dxa"/>
            <w:shd w:val="clear" w:color="auto" w:fill="auto"/>
            <w:noWrap/>
            <w:hideMark/>
          </w:tcPr>
          <w:p w14:paraId="702FD4A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76106</w:t>
            </w:r>
          </w:p>
        </w:tc>
        <w:tc>
          <w:tcPr>
            <w:tcW w:w="720" w:type="dxa"/>
            <w:shd w:val="clear" w:color="auto" w:fill="auto"/>
            <w:noWrap/>
            <w:hideMark/>
          </w:tcPr>
          <w:p w14:paraId="75FCFD46"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126</w:t>
            </w:r>
          </w:p>
        </w:tc>
      </w:tr>
      <w:tr w:rsidR="008C2BAE" w:rsidRPr="008C2BAE" w14:paraId="65B4B68F" w14:textId="77777777" w:rsidTr="00860CDA">
        <w:trPr>
          <w:trHeight w:val="585"/>
        </w:trPr>
        <w:tc>
          <w:tcPr>
            <w:tcW w:w="4248" w:type="dxa"/>
            <w:shd w:val="clear" w:color="auto" w:fill="auto"/>
            <w:noWrap/>
            <w:hideMark/>
          </w:tcPr>
          <w:p w14:paraId="1E11564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Homewood Suites - Fossil Creek</w:t>
            </w:r>
          </w:p>
        </w:tc>
        <w:tc>
          <w:tcPr>
            <w:tcW w:w="2700" w:type="dxa"/>
            <w:shd w:val="clear" w:color="auto" w:fill="auto"/>
            <w:noWrap/>
            <w:hideMark/>
          </w:tcPr>
          <w:p w14:paraId="1A28BA2A"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3701 </w:t>
            </w:r>
            <w:proofErr w:type="spellStart"/>
            <w:r w:rsidRPr="008C2BAE">
              <w:rPr>
                <w:rFonts w:ascii="Calibri" w:eastAsia="Calibri" w:hAnsi="Calibri"/>
                <w:color w:val="000000"/>
                <w:sz w:val="22"/>
                <w:szCs w:val="22"/>
              </w:rPr>
              <w:t>Tanacross</w:t>
            </w:r>
            <w:proofErr w:type="spellEnd"/>
          </w:p>
        </w:tc>
        <w:tc>
          <w:tcPr>
            <w:tcW w:w="1980" w:type="dxa"/>
            <w:shd w:val="clear" w:color="auto" w:fill="auto"/>
            <w:noWrap/>
            <w:hideMark/>
          </w:tcPr>
          <w:p w14:paraId="277AB035"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76137</w:t>
            </w:r>
          </w:p>
        </w:tc>
        <w:tc>
          <w:tcPr>
            <w:tcW w:w="720" w:type="dxa"/>
            <w:shd w:val="clear" w:color="auto" w:fill="auto"/>
            <w:noWrap/>
            <w:hideMark/>
          </w:tcPr>
          <w:p w14:paraId="28C697A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137</w:t>
            </w:r>
          </w:p>
        </w:tc>
      </w:tr>
      <w:tr w:rsidR="008C2BAE" w:rsidRPr="008C2BAE" w14:paraId="095FC489" w14:textId="77777777" w:rsidTr="00860CDA">
        <w:trPr>
          <w:trHeight w:val="585"/>
        </w:trPr>
        <w:tc>
          <w:tcPr>
            <w:tcW w:w="4248" w:type="dxa"/>
            <w:shd w:val="clear" w:color="auto" w:fill="auto"/>
            <w:noWrap/>
            <w:hideMark/>
          </w:tcPr>
          <w:p w14:paraId="60CC846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Homewood Suites - Medical Center</w:t>
            </w:r>
          </w:p>
        </w:tc>
        <w:tc>
          <w:tcPr>
            <w:tcW w:w="2700" w:type="dxa"/>
            <w:shd w:val="clear" w:color="auto" w:fill="auto"/>
            <w:noWrap/>
            <w:hideMark/>
          </w:tcPr>
          <w:p w14:paraId="2101732A"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2200 Charlie Lane</w:t>
            </w:r>
          </w:p>
        </w:tc>
        <w:tc>
          <w:tcPr>
            <w:tcW w:w="1980" w:type="dxa"/>
            <w:shd w:val="clear" w:color="auto" w:fill="auto"/>
            <w:noWrap/>
            <w:hideMark/>
          </w:tcPr>
          <w:p w14:paraId="4FABC7C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76104</w:t>
            </w:r>
          </w:p>
        </w:tc>
        <w:tc>
          <w:tcPr>
            <w:tcW w:w="720" w:type="dxa"/>
            <w:shd w:val="clear" w:color="auto" w:fill="auto"/>
            <w:noWrap/>
            <w:hideMark/>
          </w:tcPr>
          <w:p w14:paraId="0C1B2B7B"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157</w:t>
            </w:r>
          </w:p>
        </w:tc>
      </w:tr>
      <w:tr w:rsidR="008C2BAE" w:rsidRPr="008C2BAE" w14:paraId="49B3A6C0" w14:textId="77777777" w:rsidTr="00860CDA">
        <w:trPr>
          <w:trHeight w:val="585"/>
        </w:trPr>
        <w:tc>
          <w:tcPr>
            <w:tcW w:w="4248" w:type="dxa"/>
            <w:shd w:val="clear" w:color="auto" w:fill="auto"/>
            <w:noWrap/>
            <w:hideMark/>
          </w:tcPr>
          <w:p w14:paraId="3A036DB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Hyatt Place - </w:t>
            </w:r>
            <w:proofErr w:type="spellStart"/>
            <w:r w:rsidRPr="008C2BAE">
              <w:rPr>
                <w:rFonts w:ascii="Calibri" w:eastAsia="Calibri" w:hAnsi="Calibri"/>
                <w:color w:val="000000"/>
                <w:sz w:val="22"/>
                <w:szCs w:val="22"/>
              </w:rPr>
              <w:t>Cityview</w:t>
            </w:r>
            <w:proofErr w:type="spellEnd"/>
          </w:p>
        </w:tc>
        <w:tc>
          <w:tcPr>
            <w:tcW w:w="2700" w:type="dxa"/>
            <w:shd w:val="clear" w:color="auto" w:fill="auto"/>
            <w:noWrap/>
            <w:hideMark/>
          </w:tcPr>
          <w:p w14:paraId="30961825"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5900 </w:t>
            </w:r>
            <w:proofErr w:type="spellStart"/>
            <w:r w:rsidRPr="008C2BAE">
              <w:rPr>
                <w:rFonts w:ascii="Calibri" w:eastAsia="Calibri" w:hAnsi="Calibri"/>
                <w:color w:val="000000"/>
                <w:sz w:val="22"/>
                <w:szCs w:val="22"/>
              </w:rPr>
              <w:t>Cityview</w:t>
            </w:r>
            <w:proofErr w:type="spellEnd"/>
            <w:r w:rsidRPr="008C2BAE">
              <w:rPr>
                <w:rFonts w:ascii="Calibri" w:eastAsia="Calibri" w:hAnsi="Calibri"/>
                <w:color w:val="000000"/>
                <w:sz w:val="22"/>
                <w:szCs w:val="22"/>
              </w:rPr>
              <w:t xml:space="preserve"> Street</w:t>
            </w:r>
          </w:p>
        </w:tc>
        <w:tc>
          <w:tcPr>
            <w:tcW w:w="1980" w:type="dxa"/>
            <w:shd w:val="clear" w:color="auto" w:fill="auto"/>
            <w:noWrap/>
            <w:hideMark/>
          </w:tcPr>
          <w:p w14:paraId="0929228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76132</w:t>
            </w:r>
          </w:p>
        </w:tc>
        <w:tc>
          <w:tcPr>
            <w:tcW w:w="720" w:type="dxa"/>
            <w:shd w:val="clear" w:color="auto" w:fill="auto"/>
            <w:noWrap/>
            <w:hideMark/>
          </w:tcPr>
          <w:p w14:paraId="0A1E5BC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127</w:t>
            </w:r>
          </w:p>
        </w:tc>
      </w:tr>
      <w:tr w:rsidR="008C2BAE" w:rsidRPr="008C2BAE" w14:paraId="7CA22BED" w14:textId="77777777" w:rsidTr="00860CDA">
        <w:trPr>
          <w:trHeight w:val="585"/>
        </w:trPr>
        <w:tc>
          <w:tcPr>
            <w:tcW w:w="4248" w:type="dxa"/>
            <w:shd w:val="clear" w:color="auto" w:fill="auto"/>
            <w:noWrap/>
            <w:hideMark/>
          </w:tcPr>
          <w:p w14:paraId="0C10FC34"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Hyatt Place - Stockyards</w:t>
            </w:r>
          </w:p>
        </w:tc>
        <w:tc>
          <w:tcPr>
            <w:tcW w:w="2700" w:type="dxa"/>
            <w:shd w:val="clear" w:color="auto" w:fill="auto"/>
            <w:noWrap/>
            <w:hideMark/>
          </w:tcPr>
          <w:p w14:paraId="02A8125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132 E Exchange</w:t>
            </w:r>
          </w:p>
        </w:tc>
        <w:tc>
          <w:tcPr>
            <w:tcW w:w="1980" w:type="dxa"/>
            <w:shd w:val="clear" w:color="auto" w:fill="auto"/>
            <w:noWrap/>
            <w:hideMark/>
          </w:tcPr>
          <w:p w14:paraId="04D33C1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76164</w:t>
            </w:r>
          </w:p>
        </w:tc>
        <w:tc>
          <w:tcPr>
            <w:tcW w:w="720" w:type="dxa"/>
            <w:shd w:val="clear" w:color="auto" w:fill="auto"/>
            <w:noWrap/>
            <w:hideMark/>
          </w:tcPr>
          <w:p w14:paraId="36B5EF1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100</w:t>
            </w:r>
          </w:p>
        </w:tc>
      </w:tr>
      <w:tr w:rsidR="008C2BAE" w:rsidRPr="008C2BAE" w14:paraId="50C1D9B7" w14:textId="77777777" w:rsidTr="00860CDA">
        <w:trPr>
          <w:trHeight w:val="585"/>
        </w:trPr>
        <w:tc>
          <w:tcPr>
            <w:tcW w:w="4248" w:type="dxa"/>
            <w:shd w:val="clear" w:color="auto" w:fill="auto"/>
            <w:noWrap/>
            <w:hideMark/>
          </w:tcPr>
          <w:p w14:paraId="747C0ED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La Quinta Inn and Suites - Fort Worth North</w:t>
            </w:r>
          </w:p>
        </w:tc>
        <w:tc>
          <w:tcPr>
            <w:tcW w:w="2700" w:type="dxa"/>
            <w:shd w:val="clear" w:color="auto" w:fill="auto"/>
            <w:noWrap/>
            <w:hideMark/>
          </w:tcPr>
          <w:p w14:paraId="565255F3"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4700 North Street</w:t>
            </w:r>
          </w:p>
        </w:tc>
        <w:tc>
          <w:tcPr>
            <w:tcW w:w="1980" w:type="dxa"/>
            <w:shd w:val="clear" w:color="auto" w:fill="auto"/>
            <w:noWrap/>
            <w:hideMark/>
          </w:tcPr>
          <w:p w14:paraId="2FB8314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76137</w:t>
            </w:r>
          </w:p>
        </w:tc>
        <w:tc>
          <w:tcPr>
            <w:tcW w:w="720" w:type="dxa"/>
            <w:shd w:val="clear" w:color="auto" w:fill="auto"/>
            <w:noWrap/>
            <w:hideMark/>
          </w:tcPr>
          <w:p w14:paraId="48466C9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133</w:t>
            </w:r>
          </w:p>
        </w:tc>
      </w:tr>
      <w:tr w:rsidR="008C2BAE" w:rsidRPr="008C2BAE" w14:paraId="746AE87B" w14:textId="77777777" w:rsidTr="00860CDA">
        <w:trPr>
          <w:trHeight w:val="585"/>
        </w:trPr>
        <w:tc>
          <w:tcPr>
            <w:tcW w:w="4248" w:type="dxa"/>
            <w:shd w:val="clear" w:color="auto" w:fill="auto"/>
            <w:noWrap/>
            <w:hideMark/>
          </w:tcPr>
          <w:p w14:paraId="37CA260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La Quinta Inn and Suites - Southwest</w:t>
            </w:r>
          </w:p>
        </w:tc>
        <w:tc>
          <w:tcPr>
            <w:tcW w:w="2700" w:type="dxa"/>
            <w:shd w:val="clear" w:color="auto" w:fill="auto"/>
            <w:noWrap/>
            <w:hideMark/>
          </w:tcPr>
          <w:p w14:paraId="6121F7F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4900 Bryant Irvin</w:t>
            </w:r>
          </w:p>
        </w:tc>
        <w:tc>
          <w:tcPr>
            <w:tcW w:w="1980" w:type="dxa"/>
            <w:shd w:val="clear" w:color="auto" w:fill="auto"/>
            <w:noWrap/>
            <w:hideMark/>
          </w:tcPr>
          <w:p w14:paraId="6F32B09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76132</w:t>
            </w:r>
          </w:p>
        </w:tc>
        <w:tc>
          <w:tcPr>
            <w:tcW w:w="720" w:type="dxa"/>
            <w:shd w:val="clear" w:color="auto" w:fill="auto"/>
            <w:noWrap/>
            <w:hideMark/>
          </w:tcPr>
          <w:p w14:paraId="06AEA133"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128</w:t>
            </w:r>
          </w:p>
        </w:tc>
      </w:tr>
      <w:tr w:rsidR="008C2BAE" w:rsidRPr="008C2BAE" w14:paraId="2839D69B" w14:textId="77777777" w:rsidTr="00860CDA">
        <w:trPr>
          <w:trHeight w:val="585"/>
        </w:trPr>
        <w:tc>
          <w:tcPr>
            <w:tcW w:w="4248" w:type="dxa"/>
            <w:shd w:val="clear" w:color="auto" w:fill="auto"/>
            <w:noWrap/>
            <w:hideMark/>
          </w:tcPr>
          <w:p w14:paraId="4465B76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Omni Fort Worth Hotel</w:t>
            </w:r>
          </w:p>
        </w:tc>
        <w:tc>
          <w:tcPr>
            <w:tcW w:w="2700" w:type="dxa"/>
            <w:shd w:val="clear" w:color="auto" w:fill="auto"/>
            <w:noWrap/>
            <w:hideMark/>
          </w:tcPr>
          <w:p w14:paraId="0D3A133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1300 Houston</w:t>
            </w:r>
          </w:p>
        </w:tc>
        <w:tc>
          <w:tcPr>
            <w:tcW w:w="1980" w:type="dxa"/>
            <w:shd w:val="clear" w:color="auto" w:fill="auto"/>
            <w:noWrap/>
            <w:hideMark/>
          </w:tcPr>
          <w:p w14:paraId="0800A15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1B3A5775"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614</w:t>
            </w:r>
          </w:p>
        </w:tc>
      </w:tr>
      <w:tr w:rsidR="008C2BAE" w:rsidRPr="008C2BAE" w14:paraId="046300D9" w14:textId="77777777" w:rsidTr="00860CDA">
        <w:trPr>
          <w:trHeight w:val="585"/>
        </w:trPr>
        <w:tc>
          <w:tcPr>
            <w:tcW w:w="4248" w:type="dxa"/>
            <w:shd w:val="clear" w:color="auto" w:fill="auto"/>
            <w:noWrap/>
            <w:hideMark/>
          </w:tcPr>
          <w:p w14:paraId="4DEACD8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Quality Inn and Suites - Cattle Baron</w:t>
            </w:r>
          </w:p>
        </w:tc>
        <w:tc>
          <w:tcPr>
            <w:tcW w:w="2700" w:type="dxa"/>
            <w:shd w:val="clear" w:color="auto" w:fill="auto"/>
            <w:noWrap/>
            <w:hideMark/>
          </w:tcPr>
          <w:p w14:paraId="43DA957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2700 S Cherry Lane</w:t>
            </w:r>
          </w:p>
        </w:tc>
        <w:tc>
          <w:tcPr>
            <w:tcW w:w="1980" w:type="dxa"/>
            <w:shd w:val="clear" w:color="auto" w:fill="auto"/>
            <w:noWrap/>
            <w:hideMark/>
          </w:tcPr>
          <w:p w14:paraId="33A5F57D"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76116</w:t>
            </w:r>
          </w:p>
        </w:tc>
        <w:tc>
          <w:tcPr>
            <w:tcW w:w="720" w:type="dxa"/>
            <w:shd w:val="clear" w:color="auto" w:fill="auto"/>
            <w:noWrap/>
            <w:hideMark/>
          </w:tcPr>
          <w:p w14:paraId="00C799C6"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109</w:t>
            </w:r>
          </w:p>
        </w:tc>
      </w:tr>
      <w:tr w:rsidR="008C2BAE" w:rsidRPr="008C2BAE" w14:paraId="02D947D4" w14:textId="77777777" w:rsidTr="00860CDA">
        <w:trPr>
          <w:trHeight w:val="585"/>
        </w:trPr>
        <w:tc>
          <w:tcPr>
            <w:tcW w:w="4248" w:type="dxa"/>
            <w:shd w:val="clear" w:color="auto" w:fill="auto"/>
            <w:noWrap/>
            <w:hideMark/>
          </w:tcPr>
          <w:p w14:paraId="652435F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Radisson - Fort Worth South Hotel</w:t>
            </w:r>
          </w:p>
        </w:tc>
        <w:tc>
          <w:tcPr>
            <w:tcW w:w="2700" w:type="dxa"/>
            <w:shd w:val="clear" w:color="auto" w:fill="auto"/>
            <w:noWrap/>
            <w:hideMark/>
          </w:tcPr>
          <w:p w14:paraId="3937EFE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100 Alta Mesa East</w:t>
            </w:r>
          </w:p>
        </w:tc>
        <w:tc>
          <w:tcPr>
            <w:tcW w:w="1980" w:type="dxa"/>
            <w:shd w:val="clear" w:color="auto" w:fill="auto"/>
            <w:noWrap/>
            <w:hideMark/>
          </w:tcPr>
          <w:p w14:paraId="31FA7F7A"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76134</w:t>
            </w:r>
          </w:p>
        </w:tc>
        <w:tc>
          <w:tcPr>
            <w:tcW w:w="720" w:type="dxa"/>
            <w:shd w:val="clear" w:color="auto" w:fill="auto"/>
            <w:noWrap/>
            <w:hideMark/>
          </w:tcPr>
          <w:p w14:paraId="71F9450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247</w:t>
            </w:r>
          </w:p>
        </w:tc>
      </w:tr>
      <w:tr w:rsidR="008C2BAE" w:rsidRPr="008C2BAE" w14:paraId="37F09573" w14:textId="77777777" w:rsidTr="00860CDA">
        <w:trPr>
          <w:trHeight w:val="585"/>
        </w:trPr>
        <w:tc>
          <w:tcPr>
            <w:tcW w:w="4248" w:type="dxa"/>
            <w:shd w:val="clear" w:color="auto" w:fill="auto"/>
            <w:noWrap/>
            <w:hideMark/>
          </w:tcPr>
          <w:p w14:paraId="64A54B4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Radisson Hotel - Fort Worth Fossil Creek</w:t>
            </w:r>
          </w:p>
        </w:tc>
        <w:tc>
          <w:tcPr>
            <w:tcW w:w="2700" w:type="dxa"/>
            <w:shd w:val="clear" w:color="auto" w:fill="auto"/>
            <w:noWrap/>
            <w:hideMark/>
          </w:tcPr>
          <w:p w14:paraId="3445FD0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2540 Meacham Street</w:t>
            </w:r>
          </w:p>
        </w:tc>
        <w:tc>
          <w:tcPr>
            <w:tcW w:w="1980" w:type="dxa"/>
            <w:shd w:val="clear" w:color="auto" w:fill="auto"/>
            <w:noWrap/>
            <w:hideMark/>
          </w:tcPr>
          <w:p w14:paraId="7C07AC6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76106</w:t>
            </w:r>
          </w:p>
        </w:tc>
        <w:tc>
          <w:tcPr>
            <w:tcW w:w="720" w:type="dxa"/>
            <w:shd w:val="clear" w:color="auto" w:fill="auto"/>
            <w:noWrap/>
            <w:hideMark/>
          </w:tcPr>
          <w:p w14:paraId="4D6F0A7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247</w:t>
            </w:r>
          </w:p>
        </w:tc>
      </w:tr>
      <w:tr w:rsidR="008C2BAE" w:rsidRPr="008C2BAE" w14:paraId="634ACCF0" w14:textId="77777777" w:rsidTr="00860CDA">
        <w:trPr>
          <w:trHeight w:val="585"/>
        </w:trPr>
        <w:tc>
          <w:tcPr>
            <w:tcW w:w="4248" w:type="dxa"/>
            <w:shd w:val="clear" w:color="auto" w:fill="auto"/>
            <w:noWrap/>
            <w:hideMark/>
          </w:tcPr>
          <w:p w14:paraId="23A2350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lastRenderedPageBreak/>
              <w:t>Residence Inn - Alliance Airport</w:t>
            </w:r>
          </w:p>
        </w:tc>
        <w:tc>
          <w:tcPr>
            <w:tcW w:w="2700" w:type="dxa"/>
            <w:shd w:val="clear" w:color="auto" w:fill="auto"/>
            <w:noWrap/>
            <w:hideMark/>
          </w:tcPr>
          <w:p w14:paraId="20D9BFCA"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13400 North Freeway</w:t>
            </w:r>
          </w:p>
        </w:tc>
        <w:tc>
          <w:tcPr>
            <w:tcW w:w="1980" w:type="dxa"/>
            <w:shd w:val="clear" w:color="auto" w:fill="auto"/>
            <w:noWrap/>
            <w:hideMark/>
          </w:tcPr>
          <w:p w14:paraId="5C9F653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76177</w:t>
            </w:r>
          </w:p>
        </w:tc>
        <w:tc>
          <w:tcPr>
            <w:tcW w:w="720" w:type="dxa"/>
            <w:shd w:val="clear" w:color="auto" w:fill="auto"/>
            <w:noWrap/>
            <w:hideMark/>
          </w:tcPr>
          <w:p w14:paraId="69FB286D"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111</w:t>
            </w:r>
          </w:p>
        </w:tc>
      </w:tr>
      <w:tr w:rsidR="008C2BAE" w:rsidRPr="008C2BAE" w14:paraId="710309D7" w14:textId="77777777" w:rsidTr="00860CDA">
        <w:trPr>
          <w:trHeight w:val="585"/>
        </w:trPr>
        <w:tc>
          <w:tcPr>
            <w:tcW w:w="4248" w:type="dxa"/>
            <w:shd w:val="clear" w:color="auto" w:fill="auto"/>
            <w:noWrap/>
            <w:hideMark/>
          </w:tcPr>
          <w:p w14:paraId="47A5103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Residence Inn - Cultural District</w:t>
            </w:r>
          </w:p>
        </w:tc>
        <w:tc>
          <w:tcPr>
            <w:tcW w:w="2700" w:type="dxa"/>
            <w:shd w:val="clear" w:color="auto" w:fill="auto"/>
            <w:noWrap/>
            <w:hideMark/>
          </w:tcPr>
          <w:p w14:paraId="226CFA6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2500 Museum Way</w:t>
            </w:r>
          </w:p>
        </w:tc>
        <w:tc>
          <w:tcPr>
            <w:tcW w:w="1980" w:type="dxa"/>
            <w:shd w:val="clear" w:color="auto" w:fill="auto"/>
            <w:noWrap/>
            <w:hideMark/>
          </w:tcPr>
          <w:p w14:paraId="49D03AFB"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76107</w:t>
            </w:r>
          </w:p>
        </w:tc>
        <w:tc>
          <w:tcPr>
            <w:tcW w:w="720" w:type="dxa"/>
            <w:shd w:val="clear" w:color="auto" w:fill="auto"/>
            <w:noWrap/>
            <w:hideMark/>
          </w:tcPr>
          <w:p w14:paraId="5473940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150</w:t>
            </w:r>
          </w:p>
        </w:tc>
      </w:tr>
      <w:tr w:rsidR="008C2BAE" w:rsidRPr="008C2BAE" w14:paraId="6F78A089" w14:textId="77777777" w:rsidTr="00860CDA">
        <w:trPr>
          <w:trHeight w:val="585"/>
        </w:trPr>
        <w:tc>
          <w:tcPr>
            <w:tcW w:w="4248" w:type="dxa"/>
            <w:shd w:val="clear" w:color="auto" w:fill="auto"/>
            <w:noWrap/>
            <w:hideMark/>
          </w:tcPr>
          <w:p w14:paraId="1C9D5E84"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Residence Inn - Fossil Creek</w:t>
            </w:r>
          </w:p>
        </w:tc>
        <w:tc>
          <w:tcPr>
            <w:tcW w:w="2700" w:type="dxa"/>
            <w:shd w:val="clear" w:color="auto" w:fill="auto"/>
            <w:noWrap/>
            <w:hideMark/>
          </w:tcPr>
          <w:p w14:paraId="5C3FA686"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5801 </w:t>
            </w:r>
            <w:proofErr w:type="spellStart"/>
            <w:r w:rsidRPr="008C2BAE">
              <w:rPr>
                <w:rFonts w:ascii="Calibri" w:eastAsia="Calibri" w:hAnsi="Calibri"/>
                <w:color w:val="000000"/>
                <w:sz w:val="22"/>
                <w:szCs w:val="22"/>
              </w:rPr>
              <w:t>Sandshell</w:t>
            </w:r>
            <w:proofErr w:type="spellEnd"/>
            <w:r w:rsidRPr="008C2BAE">
              <w:rPr>
                <w:rFonts w:ascii="Calibri" w:eastAsia="Calibri" w:hAnsi="Calibri"/>
                <w:color w:val="000000"/>
                <w:sz w:val="22"/>
                <w:szCs w:val="22"/>
              </w:rPr>
              <w:t xml:space="preserve"> Drive</w:t>
            </w:r>
          </w:p>
        </w:tc>
        <w:tc>
          <w:tcPr>
            <w:tcW w:w="1980" w:type="dxa"/>
            <w:shd w:val="clear" w:color="auto" w:fill="auto"/>
            <w:noWrap/>
            <w:hideMark/>
          </w:tcPr>
          <w:p w14:paraId="10E441D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76137</w:t>
            </w:r>
          </w:p>
        </w:tc>
        <w:tc>
          <w:tcPr>
            <w:tcW w:w="720" w:type="dxa"/>
            <w:shd w:val="clear" w:color="auto" w:fill="auto"/>
            <w:noWrap/>
            <w:hideMark/>
          </w:tcPr>
          <w:p w14:paraId="1FBEA2C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114</w:t>
            </w:r>
          </w:p>
        </w:tc>
      </w:tr>
      <w:tr w:rsidR="008C2BAE" w:rsidRPr="008C2BAE" w14:paraId="12EDED5C" w14:textId="77777777" w:rsidTr="00860CDA">
        <w:trPr>
          <w:trHeight w:val="585"/>
        </w:trPr>
        <w:tc>
          <w:tcPr>
            <w:tcW w:w="4248" w:type="dxa"/>
            <w:shd w:val="clear" w:color="auto" w:fill="auto"/>
            <w:noWrap/>
            <w:hideMark/>
          </w:tcPr>
          <w:p w14:paraId="01B3909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Sheraton Fort Worth Hotel and Spa</w:t>
            </w:r>
          </w:p>
        </w:tc>
        <w:tc>
          <w:tcPr>
            <w:tcW w:w="2700" w:type="dxa"/>
            <w:shd w:val="clear" w:color="auto" w:fill="auto"/>
            <w:noWrap/>
            <w:hideMark/>
          </w:tcPr>
          <w:p w14:paraId="60BEF58D"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1701 Commerce Street</w:t>
            </w:r>
          </w:p>
        </w:tc>
        <w:tc>
          <w:tcPr>
            <w:tcW w:w="1980" w:type="dxa"/>
            <w:shd w:val="clear" w:color="auto" w:fill="auto"/>
            <w:noWrap/>
            <w:hideMark/>
          </w:tcPr>
          <w:p w14:paraId="18DF165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4169CD18"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429</w:t>
            </w:r>
          </w:p>
        </w:tc>
      </w:tr>
      <w:tr w:rsidR="008C2BAE" w:rsidRPr="008C2BAE" w14:paraId="50645225" w14:textId="77777777" w:rsidTr="00860CDA">
        <w:trPr>
          <w:trHeight w:val="585"/>
        </w:trPr>
        <w:tc>
          <w:tcPr>
            <w:tcW w:w="4248" w:type="dxa"/>
            <w:shd w:val="clear" w:color="auto" w:fill="auto"/>
            <w:noWrap/>
            <w:hideMark/>
          </w:tcPr>
          <w:p w14:paraId="4CB79B84" w14:textId="77777777" w:rsidR="008C2BAE" w:rsidRPr="008C2BAE" w:rsidRDefault="008C2BAE" w:rsidP="008C2BAE">
            <w:pPr>
              <w:widowControl/>
              <w:autoSpaceDE/>
              <w:autoSpaceDN/>
              <w:rPr>
                <w:rFonts w:ascii="Calibri" w:eastAsia="Calibri" w:hAnsi="Calibri"/>
                <w:color w:val="000000"/>
                <w:sz w:val="22"/>
                <w:szCs w:val="22"/>
              </w:rPr>
            </w:pPr>
            <w:proofErr w:type="spellStart"/>
            <w:r w:rsidRPr="008C2BAE">
              <w:rPr>
                <w:rFonts w:ascii="Calibri" w:eastAsia="Calibri" w:hAnsi="Calibri"/>
                <w:color w:val="000000"/>
                <w:sz w:val="22"/>
                <w:szCs w:val="22"/>
              </w:rPr>
              <w:t>SpringHill</w:t>
            </w:r>
            <w:proofErr w:type="spellEnd"/>
            <w:r w:rsidRPr="008C2BAE">
              <w:rPr>
                <w:rFonts w:ascii="Calibri" w:eastAsia="Calibri" w:hAnsi="Calibri"/>
                <w:color w:val="000000"/>
                <w:sz w:val="22"/>
                <w:szCs w:val="22"/>
              </w:rPr>
              <w:t xml:space="preserve"> Suites by Marriott - University</w:t>
            </w:r>
          </w:p>
        </w:tc>
        <w:tc>
          <w:tcPr>
            <w:tcW w:w="2700" w:type="dxa"/>
            <w:shd w:val="clear" w:color="auto" w:fill="auto"/>
            <w:noWrap/>
            <w:hideMark/>
          </w:tcPr>
          <w:p w14:paraId="3AD6008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3250 Lovell Street</w:t>
            </w:r>
          </w:p>
        </w:tc>
        <w:tc>
          <w:tcPr>
            <w:tcW w:w="1980" w:type="dxa"/>
            <w:shd w:val="clear" w:color="auto" w:fill="auto"/>
            <w:noWrap/>
            <w:hideMark/>
          </w:tcPr>
          <w:p w14:paraId="3EDF1243"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76107</w:t>
            </w:r>
          </w:p>
        </w:tc>
        <w:tc>
          <w:tcPr>
            <w:tcW w:w="720" w:type="dxa"/>
            <w:shd w:val="clear" w:color="auto" w:fill="auto"/>
            <w:noWrap/>
            <w:hideMark/>
          </w:tcPr>
          <w:p w14:paraId="0ECC584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145</w:t>
            </w:r>
          </w:p>
        </w:tc>
      </w:tr>
      <w:tr w:rsidR="008C2BAE" w:rsidRPr="008C2BAE" w14:paraId="3989FDA3" w14:textId="77777777" w:rsidTr="00860CDA">
        <w:trPr>
          <w:trHeight w:val="585"/>
        </w:trPr>
        <w:tc>
          <w:tcPr>
            <w:tcW w:w="4248" w:type="dxa"/>
            <w:shd w:val="clear" w:color="auto" w:fill="auto"/>
            <w:noWrap/>
            <w:hideMark/>
          </w:tcPr>
          <w:p w14:paraId="33B03CEB"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Stay Express Hotel Fort Worth</w:t>
            </w:r>
          </w:p>
        </w:tc>
        <w:tc>
          <w:tcPr>
            <w:tcW w:w="2700" w:type="dxa"/>
            <w:shd w:val="clear" w:color="auto" w:fill="auto"/>
            <w:noWrap/>
            <w:hideMark/>
          </w:tcPr>
          <w:p w14:paraId="0B1DD74B"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2000 Beach Street</w:t>
            </w:r>
          </w:p>
        </w:tc>
        <w:tc>
          <w:tcPr>
            <w:tcW w:w="1980" w:type="dxa"/>
            <w:shd w:val="clear" w:color="auto" w:fill="auto"/>
            <w:noWrap/>
            <w:hideMark/>
          </w:tcPr>
          <w:p w14:paraId="12D91C82"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76111</w:t>
            </w:r>
          </w:p>
        </w:tc>
        <w:tc>
          <w:tcPr>
            <w:tcW w:w="720" w:type="dxa"/>
            <w:shd w:val="clear" w:color="auto" w:fill="auto"/>
            <w:noWrap/>
            <w:hideMark/>
          </w:tcPr>
          <w:p w14:paraId="2E276CE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168</w:t>
            </w:r>
          </w:p>
        </w:tc>
      </w:tr>
      <w:tr w:rsidR="008C2BAE" w:rsidRPr="008C2BAE" w14:paraId="79D9F33F" w14:textId="77777777" w:rsidTr="00860CDA">
        <w:trPr>
          <w:trHeight w:val="585"/>
        </w:trPr>
        <w:tc>
          <w:tcPr>
            <w:tcW w:w="4248" w:type="dxa"/>
            <w:shd w:val="clear" w:color="auto" w:fill="auto"/>
            <w:noWrap/>
            <w:hideMark/>
          </w:tcPr>
          <w:p w14:paraId="7DD42BA1" w14:textId="77777777" w:rsidR="008C2BAE" w:rsidRPr="008C2BAE" w:rsidRDefault="008C2BAE" w:rsidP="008C2BAE">
            <w:pPr>
              <w:widowControl/>
              <w:autoSpaceDE/>
              <w:autoSpaceDN/>
              <w:rPr>
                <w:rFonts w:ascii="Calibri" w:eastAsia="Calibri" w:hAnsi="Calibri"/>
                <w:color w:val="000000"/>
                <w:sz w:val="22"/>
                <w:szCs w:val="22"/>
              </w:rPr>
            </w:pPr>
            <w:proofErr w:type="spellStart"/>
            <w:r w:rsidRPr="008C2BAE">
              <w:rPr>
                <w:rFonts w:ascii="Calibri" w:eastAsia="Calibri" w:hAnsi="Calibri"/>
                <w:color w:val="000000"/>
                <w:sz w:val="22"/>
                <w:szCs w:val="22"/>
              </w:rPr>
              <w:t>TownePlace</w:t>
            </w:r>
            <w:proofErr w:type="spellEnd"/>
            <w:r w:rsidRPr="008C2BAE">
              <w:rPr>
                <w:rFonts w:ascii="Calibri" w:eastAsia="Calibri" w:hAnsi="Calibri"/>
                <w:color w:val="000000"/>
                <w:sz w:val="22"/>
                <w:szCs w:val="22"/>
              </w:rPr>
              <w:t xml:space="preserve"> Suites Downtown</w:t>
            </w:r>
          </w:p>
        </w:tc>
        <w:tc>
          <w:tcPr>
            <w:tcW w:w="2700" w:type="dxa"/>
            <w:shd w:val="clear" w:color="auto" w:fill="auto"/>
            <w:noWrap/>
            <w:hideMark/>
          </w:tcPr>
          <w:p w14:paraId="4F9AC263"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 xml:space="preserve">805 E Belknap </w:t>
            </w:r>
          </w:p>
        </w:tc>
        <w:tc>
          <w:tcPr>
            <w:tcW w:w="1980" w:type="dxa"/>
            <w:shd w:val="clear" w:color="auto" w:fill="auto"/>
            <w:noWrap/>
            <w:hideMark/>
          </w:tcPr>
          <w:p w14:paraId="7F203663"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11D37FC9"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140</w:t>
            </w:r>
          </w:p>
        </w:tc>
      </w:tr>
      <w:tr w:rsidR="008C2BAE" w:rsidRPr="008C2BAE" w14:paraId="5BC3A862" w14:textId="77777777" w:rsidTr="00860CDA">
        <w:trPr>
          <w:trHeight w:val="585"/>
        </w:trPr>
        <w:tc>
          <w:tcPr>
            <w:tcW w:w="4248" w:type="dxa"/>
            <w:shd w:val="clear" w:color="auto" w:fill="auto"/>
            <w:noWrap/>
            <w:hideMark/>
          </w:tcPr>
          <w:p w14:paraId="39559EB0" w14:textId="77777777" w:rsidR="008C2BAE" w:rsidRPr="008C2BAE" w:rsidRDefault="008C2BAE" w:rsidP="008C2BAE">
            <w:pPr>
              <w:widowControl/>
              <w:autoSpaceDE/>
              <w:autoSpaceDN/>
              <w:rPr>
                <w:rFonts w:ascii="Calibri" w:eastAsia="Calibri" w:hAnsi="Calibri"/>
                <w:color w:val="000000"/>
                <w:sz w:val="22"/>
                <w:szCs w:val="22"/>
              </w:rPr>
            </w:pPr>
            <w:proofErr w:type="spellStart"/>
            <w:r w:rsidRPr="008C2BAE">
              <w:rPr>
                <w:rFonts w:ascii="Calibri" w:eastAsia="Calibri" w:hAnsi="Calibri"/>
                <w:color w:val="000000"/>
                <w:sz w:val="22"/>
                <w:szCs w:val="22"/>
              </w:rPr>
              <w:t>TownePlace</w:t>
            </w:r>
            <w:proofErr w:type="spellEnd"/>
            <w:r w:rsidRPr="008C2BAE">
              <w:rPr>
                <w:rFonts w:ascii="Calibri" w:eastAsia="Calibri" w:hAnsi="Calibri"/>
                <w:color w:val="000000"/>
                <w:sz w:val="22"/>
                <w:szCs w:val="22"/>
              </w:rPr>
              <w:t xml:space="preserve"> Suites University</w:t>
            </w:r>
          </w:p>
        </w:tc>
        <w:tc>
          <w:tcPr>
            <w:tcW w:w="2700" w:type="dxa"/>
            <w:shd w:val="clear" w:color="auto" w:fill="auto"/>
            <w:noWrap/>
            <w:hideMark/>
          </w:tcPr>
          <w:p w14:paraId="24B5A7D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W. Vickery &amp; Trinity Street</w:t>
            </w:r>
          </w:p>
        </w:tc>
        <w:tc>
          <w:tcPr>
            <w:tcW w:w="1980" w:type="dxa"/>
            <w:shd w:val="clear" w:color="auto" w:fill="auto"/>
            <w:noWrap/>
            <w:hideMark/>
          </w:tcPr>
          <w:p w14:paraId="67F5D8F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76107</w:t>
            </w:r>
          </w:p>
        </w:tc>
        <w:tc>
          <w:tcPr>
            <w:tcW w:w="720" w:type="dxa"/>
            <w:shd w:val="clear" w:color="auto" w:fill="auto"/>
            <w:noWrap/>
            <w:hideMark/>
          </w:tcPr>
          <w:p w14:paraId="5D92974F"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128</w:t>
            </w:r>
          </w:p>
        </w:tc>
      </w:tr>
      <w:tr w:rsidR="008C2BAE" w:rsidRPr="008C2BAE" w14:paraId="2F741ABE" w14:textId="77777777" w:rsidTr="00860CDA">
        <w:trPr>
          <w:trHeight w:val="585"/>
        </w:trPr>
        <w:tc>
          <w:tcPr>
            <w:tcW w:w="4248" w:type="dxa"/>
            <w:shd w:val="clear" w:color="auto" w:fill="auto"/>
            <w:noWrap/>
            <w:hideMark/>
          </w:tcPr>
          <w:p w14:paraId="7C1FAD03" w14:textId="77777777" w:rsidR="008C2BAE" w:rsidRPr="008C2BAE" w:rsidRDefault="008C2BAE" w:rsidP="008C2BAE">
            <w:pPr>
              <w:widowControl/>
              <w:autoSpaceDE/>
              <w:autoSpaceDN/>
              <w:rPr>
                <w:rFonts w:ascii="Calibri" w:eastAsia="Calibri" w:hAnsi="Calibri"/>
                <w:color w:val="000000"/>
                <w:sz w:val="22"/>
                <w:szCs w:val="22"/>
              </w:rPr>
            </w:pPr>
            <w:proofErr w:type="spellStart"/>
            <w:r w:rsidRPr="008C2BAE">
              <w:rPr>
                <w:rFonts w:ascii="Calibri" w:eastAsia="Calibri" w:hAnsi="Calibri"/>
                <w:color w:val="000000"/>
                <w:sz w:val="22"/>
                <w:szCs w:val="22"/>
              </w:rPr>
              <w:t>WoodSpring</w:t>
            </w:r>
            <w:proofErr w:type="spellEnd"/>
            <w:r w:rsidRPr="008C2BAE">
              <w:rPr>
                <w:rFonts w:ascii="Calibri" w:eastAsia="Calibri" w:hAnsi="Calibri"/>
                <w:color w:val="000000"/>
                <w:sz w:val="22"/>
                <w:szCs w:val="22"/>
              </w:rPr>
              <w:t xml:space="preserve"> Suites Fort Worth</w:t>
            </w:r>
          </w:p>
        </w:tc>
        <w:tc>
          <w:tcPr>
            <w:tcW w:w="2700" w:type="dxa"/>
            <w:shd w:val="clear" w:color="auto" w:fill="auto"/>
            <w:noWrap/>
            <w:hideMark/>
          </w:tcPr>
          <w:p w14:paraId="663D3E21"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3501 NE Loop 820</w:t>
            </w:r>
          </w:p>
        </w:tc>
        <w:tc>
          <w:tcPr>
            <w:tcW w:w="1980" w:type="dxa"/>
            <w:shd w:val="clear" w:color="auto" w:fill="auto"/>
            <w:noWrap/>
            <w:hideMark/>
          </w:tcPr>
          <w:p w14:paraId="5685635C"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76137</w:t>
            </w:r>
          </w:p>
        </w:tc>
        <w:tc>
          <w:tcPr>
            <w:tcW w:w="720" w:type="dxa"/>
            <w:shd w:val="clear" w:color="auto" w:fill="auto"/>
            <w:noWrap/>
            <w:hideMark/>
          </w:tcPr>
          <w:p w14:paraId="5641A56D"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121</w:t>
            </w:r>
          </w:p>
        </w:tc>
      </w:tr>
      <w:tr w:rsidR="008C2BAE" w:rsidRPr="008C2BAE" w14:paraId="11745FE1" w14:textId="77777777" w:rsidTr="00860CDA">
        <w:trPr>
          <w:trHeight w:val="585"/>
        </w:trPr>
        <w:tc>
          <w:tcPr>
            <w:tcW w:w="4248" w:type="dxa"/>
            <w:shd w:val="clear" w:color="auto" w:fill="auto"/>
            <w:noWrap/>
            <w:hideMark/>
          </w:tcPr>
          <w:p w14:paraId="1432C431"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Worthington Renaissance Hotel</w:t>
            </w:r>
          </w:p>
        </w:tc>
        <w:tc>
          <w:tcPr>
            <w:tcW w:w="2700" w:type="dxa"/>
            <w:shd w:val="clear" w:color="auto" w:fill="auto"/>
            <w:noWrap/>
            <w:hideMark/>
          </w:tcPr>
          <w:p w14:paraId="7A9D451E"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200 Main Street</w:t>
            </w:r>
          </w:p>
        </w:tc>
        <w:tc>
          <w:tcPr>
            <w:tcW w:w="1980" w:type="dxa"/>
            <w:shd w:val="clear" w:color="auto" w:fill="auto"/>
            <w:noWrap/>
            <w:hideMark/>
          </w:tcPr>
          <w:p w14:paraId="7E718E60"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Fort Worth, TX  76102</w:t>
            </w:r>
          </w:p>
        </w:tc>
        <w:tc>
          <w:tcPr>
            <w:tcW w:w="720" w:type="dxa"/>
            <w:shd w:val="clear" w:color="auto" w:fill="auto"/>
            <w:noWrap/>
            <w:hideMark/>
          </w:tcPr>
          <w:p w14:paraId="656FEA17" w14:textId="77777777" w:rsidR="008C2BAE" w:rsidRPr="008C2BAE" w:rsidRDefault="008C2BAE" w:rsidP="008C2BAE">
            <w:pPr>
              <w:widowControl/>
              <w:autoSpaceDE/>
              <w:autoSpaceDN/>
              <w:rPr>
                <w:rFonts w:ascii="Calibri" w:eastAsia="Calibri" w:hAnsi="Calibri"/>
                <w:color w:val="000000"/>
                <w:sz w:val="22"/>
                <w:szCs w:val="22"/>
              </w:rPr>
            </w:pPr>
            <w:r w:rsidRPr="008C2BAE">
              <w:rPr>
                <w:rFonts w:ascii="Calibri" w:eastAsia="Calibri" w:hAnsi="Calibri"/>
                <w:color w:val="000000"/>
                <w:sz w:val="22"/>
                <w:szCs w:val="22"/>
              </w:rPr>
              <w:t>504</w:t>
            </w:r>
          </w:p>
        </w:tc>
      </w:tr>
    </w:tbl>
    <w:p w14:paraId="16C79A98" w14:textId="77777777" w:rsidR="00F1692E" w:rsidRPr="00655BBC" w:rsidRDefault="00F1692E">
      <w:pPr>
        <w:tabs>
          <w:tab w:val="left" w:pos="759"/>
        </w:tabs>
        <w:jc w:val="both"/>
      </w:pPr>
    </w:p>
    <w:sectPr w:rsidR="00F1692E" w:rsidRPr="00655BBC" w:rsidSect="00F1692E">
      <w:footerReference w:type="default" r:id="rId8"/>
      <w:footerReference w:type="first" r:id="rId9"/>
      <w:type w:val="continuous"/>
      <w:pgSz w:w="12240" w:h="15840" w:code="1"/>
      <w:pgMar w:top="1440" w:right="1008" w:bottom="1350" w:left="1440" w:header="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E517F" w14:textId="77777777" w:rsidR="00FD0D96" w:rsidRDefault="00FD0D96">
      <w:pPr>
        <w:pStyle w:val="Heading1"/>
      </w:pPr>
      <w:r>
        <w:separator/>
      </w:r>
    </w:p>
  </w:endnote>
  <w:endnote w:type="continuationSeparator" w:id="0">
    <w:p w14:paraId="77AA0C62" w14:textId="77777777" w:rsidR="00FD0D96" w:rsidRDefault="00FD0D96">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1EFA5" w14:textId="77777777" w:rsidR="00AA2CBE" w:rsidRPr="00253EF3" w:rsidRDefault="00AA2CBE" w:rsidP="00AF76C6">
    <w:pPr>
      <w:pStyle w:val="Footer"/>
      <w:jc w:val="right"/>
      <w:rPr>
        <w:sz w:val="20"/>
      </w:rPr>
    </w:pPr>
    <w:r w:rsidRPr="00253EF3">
      <w:rPr>
        <w:sz w:val="20"/>
      </w:rPr>
      <w:t>Ordinance No. _____________</w:t>
    </w:r>
  </w:p>
  <w:p w14:paraId="64035B3D" w14:textId="77777777" w:rsidR="00AA2CBE" w:rsidRDefault="00FD0D96" w:rsidP="00AF76C6">
    <w:pPr>
      <w:pStyle w:val="Footer"/>
      <w:ind w:left="4320" w:firstLine="4320"/>
      <w:jc w:val="center"/>
      <w:rPr>
        <w:sz w:val="20"/>
        <w:szCs w:val="20"/>
      </w:rPr>
    </w:pPr>
    <w:sdt>
      <w:sdtPr>
        <w:rPr>
          <w:sz w:val="20"/>
        </w:rPr>
        <w:id w:val="1223093289"/>
        <w:docPartObj>
          <w:docPartGallery w:val="Page Numbers (Top of Page)"/>
          <w:docPartUnique/>
        </w:docPartObj>
      </w:sdtPr>
      <w:sdtEndPr/>
      <w:sdtContent>
        <w:r w:rsidR="00AA2CBE" w:rsidRPr="00253EF3">
          <w:rPr>
            <w:sz w:val="20"/>
          </w:rPr>
          <w:t xml:space="preserve">Page </w:t>
        </w:r>
        <w:r w:rsidR="00AA2CBE" w:rsidRPr="00655BBC">
          <w:rPr>
            <w:bCs/>
            <w:sz w:val="20"/>
          </w:rPr>
          <w:fldChar w:fldCharType="begin"/>
        </w:r>
        <w:r w:rsidR="00AA2CBE" w:rsidRPr="00655BBC">
          <w:rPr>
            <w:bCs/>
            <w:sz w:val="20"/>
          </w:rPr>
          <w:instrText xml:space="preserve"> PAGE </w:instrText>
        </w:r>
        <w:r w:rsidR="00AA2CBE" w:rsidRPr="00655BBC">
          <w:rPr>
            <w:bCs/>
            <w:sz w:val="20"/>
          </w:rPr>
          <w:fldChar w:fldCharType="separate"/>
        </w:r>
        <w:r w:rsidR="00231DF6">
          <w:rPr>
            <w:bCs/>
            <w:noProof/>
            <w:sz w:val="20"/>
          </w:rPr>
          <w:t>7</w:t>
        </w:r>
        <w:r w:rsidR="00AA2CBE" w:rsidRPr="00655BBC">
          <w:rPr>
            <w:bCs/>
            <w:sz w:val="20"/>
          </w:rPr>
          <w:fldChar w:fldCharType="end"/>
        </w:r>
        <w:r w:rsidR="00AA2CBE" w:rsidRPr="00655BBC">
          <w:rPr>
            <w:sz w:val="20"/>
          </w:rPr>
          <w:t xml:space="preserve"> of </w:t>
        </w:r>
        <w:r w:rsidR="00AA2CBE" w:rsidRPr="00655BBC">
          <w:rPr>
            <w:bCs/>
            <w:sz w:val="20"/>
          </w:rPr>
          <w:fldChar w:fldCharType="begin"/>
        </w:r>
        <w:r w:rsidR="00AA2CBE" w:rsidRPr="00655BBC">
          <w:rPr>
            <w:bCs/>
            <w:sz w:val="20"/>
          </w:rPr>
          <w:instrText xml:space="preserve"> NUMPAGES  </w:instrText>
        </w:r>
        <w:r w:rsidR="00AA2CBE" w:rsidRPr="00655BBC">
          <w:rPr>
            <w:bCs/>
            <w:sz w:val="20"/>
          </w:rPr>
          <w:fldChar w:fldCharType="separate"/>
        </w:r>
        <w:r w:rsidR="00231DF6">
          <w:rPr>
            <w:bCs/>
            <w:noProof/>
            <w:sz w:val="20"/>
          </w:rPr>
          <w:t>7</w:t>
        </w:r>
        <w:r w:rsidR="00AA2CBE" w:rsidRPr="00655BBC">
          <w:rPr>
            <w:bCs/>
            <w:sz w:val="20"/>
          </w:rPr>
          <w:fldChar w:fldCharType="end"/>
        </w:r>
      </w:sdtContent>
    </w:sdt>
  </w:p>
  <w:p w14:paraId="16C79A9D" w14:textId="07F38839" w:rsidR="00AA2CBE" w:rsidRDefault="00AA2CBE">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8F187" w14:textId="77777777" w:rsidR="00B80F62" w:rsidRDefault="00B80F62" w:rsidP="00AF76C6">
    <w:pPr>
      <w:pStyle w:val="Footer"/>
      <w:jc w:val="right"/>
      <w:rPr>
        <w:sz w:val="20"/>
      </w:rPr>
    </w:pPr>
  </w:p>
  <w:p w14:paraId="0066B00C" w14:textId="77777777" w:rsidR="00B80F62" w:rsidRDefault="00B80F62" w:rsidP="00AF76C6">
    <w:pPr>
      <w:pStyle w:val="Footer"/>
      <w:jc w:val="right"/>
      <w:rPr>
        <w:sz w:val="20"/>
      </w:rPr>
    </w:pPr>
  </w:p>
  <w:p w14:paraId="1E475D74" w14:textId="77777777" w:rsidR="00AA2CBE" w:rsidRPr="00253EF3" w:rsidRDefault="00AA2CBE" w:rsidP="00AF76C6">
    <w:pPr>
      <w:pStyle w:val="Footer"/>
      <w:jc w:val="right"/>
      <w:rPr>
        <w:sz w:val="20"/>
      </w:rPr>
    </w:pPr>
    <w:r w:rsidRPr="00253EF3">
      <w:rPr>
        <w:sz w:val="20"/>
      </w:rPr>
      <w:t>Ordinance No. _____________</w:t>
    </w:r>
  </w:p>
  <w:p w14:paraId="32D8F34C" w14:textId="77777777" w:rsidR="00AA2CBE" w:rsidRDefault="00FD0D96" w:rsidP="00AF76C6">
    <w:pPr>
      <w:pStyle w:val="Footer"/>
      <w:ind w:left="4320" w:firstLine="4320"/>
      <w:jc w:val="center"/>
      <w:rPr>
        <w:sz w:val="20"/>
        <w:szCs w:val="20"/>
      </w:rPr>
    </w:pPr>
    <w:sdt>
      <w:sdtPr>
        <w:rPr>
          <w:sz w:val="20"/>
        </w:rPr>
        <w:id w:val="-2001260379"/>
        <w:docPartObj>
          <w:docPartGallery w:val="Page Numbers (Top of Page)"/>
          <w:docPartUnique/>
        </w:docPartObj>
      </w:sdtPr>
      <w:sdtEndPr/>
      <w:sdtContent>
        <w:r w:rsidR="00AA2CBE" w:rsidRPr="00253EF3">
          <w:rPr>
            <w:sz w:val="20"/>
          </w:rPr>
          <w:t xml:space="preserve">Page </w:t>
        </w:r>
        <w:r w:rsidR="00AA2CBE" w:rsidRPr="00253EF3">
          <w:rPr>
            <w:b/>
            <w:bCs/>
            <w:sz w:val="20"/>
          </w:rPr>
          <w:fldChar w:fldCharType="begin"/>
        </w:r>
        <w:r w:rsidR="00AA2CBE" w:rsidRPr="00253EF3">
          <w:rPr>
            <w:b/>
            <w:bCs/>
            <w:sz w:val="20"/>
          </w:rPr>
          <w:instrText xml:space="preserve"> PAGE </w:instrText>
        </w:r>
        <w:r w:rsidR="00AA2CBE" w:rsidRPr="00253EF3">
          <w:rPr>
            <w:b/>
            <w:bCs/>
            <w:sz w:val="20"/>
          </w:rPr>
          <w:fldChar w:fldCharType="separate"/>
        </w:r>
        <w:r w:rsidR="00231DF6">
          <w:rPr>
            <w:b/>
            <w:bCs/>
            <w:noProof/>
            <w:sz w:val="20"/>
          </w:rPr>
          <w:t>1</w:t>
        </w:r>
        <w:r w:rsidR="00AA2CBE" w:rsidRPr="00253EF3">
          <w:rPr>
            <w:b/>
            <w:bCs/>
            <w:sz w:val="20"/>
          </w:rPr>
          <w:fldChar w:fldCharType="end"/>
        </w:r>
        <w:r w:rsidR="00AA2CBE" w:rsidRPr="00253EF3">
          <w:rPr>
            <w:sz w:val="20"/>
          </w:rPr>
          <w:t xml:space="preserve"> of </w:t>
        </w:r>
        <w:r w:rsidR="00AA2CBE" w:rsidRPr="00253EF3">
          <w:rPr>
            <w:b/>
            <w:bCs/>
            <w:sz w:val="20"/>
          </w:rPr>
          <w:fldChar w:fldCharType="begin"/>
        </w:r>
        <w:r w:rsidR="00AA2CBE" w:rsidRPr="00253EF3">
          <w:rPr>
            <w:b/>
            <w:bCs/>
            <w:sz w:val="20"/>
          </w:rPr>
          <w:instrText xml:space="preserve"> NUMPAGES  </w:instrText>
        </w:r>
        <w:r w:rsidR="00AA2CBE" w:rsidRPr="00253EF3">
          <w:rPr>
            <w:b/>
            <w:bCs/>
            <w:sz w:val="20"/>
          </w:rPr>
          <w:fldChar w:fldCharType="separate"/>
        </w:r>
        <w:r w:rsidR="00231DF6">
          <w:rPr>
            <w:b/>
            <w:bCs/>
            <w:noProof/>
            <w:sz w:val="20"/>
          </w:rPr>
          <w:t>7</w:t>
        </w:r>
        <w:r w:rsidR="00AA2CBE" w:rsidRPr="00253EF3">
          <w:rPr>
            <w:b/>
            <w:bCs/>
            <w:sz w:val="20"/>
          </w:rPr>
          <w:fldChar w:fldCharType="end"/>
        </w:r>
      </w:sdtContent>
    </w:sdt>
  </w:p>
  <w:p w14:paraId="2E86A59B" w14:textId="10631B4B" w:rsidR="00AA2CBE" w:rsidRDefault="00AA2CBE">
    <w:pPr>
      <w:pStyle w:val="Footer"/>
    </w:pP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5B015" w14:textId="77777777" w:rsidR="00FD0D96" w:rsidRDefault="00FD0D96">
      <w:pPr>
        <w:pStyle w:val="Heading1"/>
      </w:pPr>
      <w:r>
        <w:separator/>
      </w:r>
    </w:p>
  </w:footnote>
  <w:footnote w:type="continuationSeparator" w:id="0">
    <w:p w14:paraId="254E8667" w14:textId="77777777" w:rsidR="00FD0D96" w:rsidRDefault="00FD0D96">
      <w:pPr>
        <w:pStyle w:val="Heading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5DBA"/>
    <w:multiLevelType w:val="hybridMultilevel"/>
    <w:tmpl w:val="CF465C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5E3A15D1"/>
    <w:multiLevelType w:val="hybridMultilevel"/>
    <w:tmpl w:val="4418B7B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72643741"/>
    <w:multiLevelType w:val="hybridMultilevel"/>
    <w:tmpl w:val="16DC4FF4"/>
    <w:lvl w:ilvl="0" w:tplc="0D003300">
      <w:start w:val="5"/>
      <w:numFmt w:val="decimal"/>
      <w:lvlText w:val="%1."/>
      <w:lvlJc w:val="left"/>
      <w:pPr>
        <w:tabs>
          <w:tab w:val="num" w:pos="1120"/>
        </w:tabs>
        <w:ind w:left="1120" w:hanging="360"/>
      </w:pPr>
      <w:rPr>
        <w:rFonts w:cs="Times New Roman" w:hint="default"/>
      </w:rPr>
    </w:lvl>
    <w:lvl w:ilvl="1" w:tplc="04090019">
      <w:start w:val="1"/>
      <w:numFmt w:val="lowerLetter"/>
      <w:lvlText w:val="%2."/>
      <w:lvlJc w:val="left"/>
      <w:pPr>
        <w:tabs>
          <w:tab w:val="num" w:pos="1840"/>
        </w:tabs>
        <w:ind w:left="1840" w:hanging="360"/>
      </w:pPr>
      <w:rPr>
        <w:rFonts w:cs="Times New Roman"/>
      </w:rPr>
    </w:lvl>
    <w:lvl w:ilvl="2" w:tplc="0409001B">
      <w:start w:val="1"/>
      <w:numFmt w:val="lowerRoman"/>
      <w:lvlText w:val="%3."/>
      <w:lvlJc w:val="right"/>
      <w:pPr>
        <w:tabs>
          <w:tab w:val="num" w:pos="2560"/>
        </w:tabs>
        <w:ind w:left="2560" w:hanging="180"/>
      </w:pPr>
      <w:rPr>
        <w:rFonts w:cs="Times New Roman"/>
      </w:rPr>
    </w:lvl>
    <w:lvl w:ilvl="3" w:tplc="0409000F">
      <w:start w:val="1"/>
      <w:numFmt w:val="decimal"/>
      <w:lvlText w:val="%4."/>
      <w:lvlJc w:val="left"/>
      <w:pPr>
        <w:tabs>
          <w:tab w:val="num" w:pos="3280"/>
        </w:tabs>
        <w:ind w:left="3280" w:hanging="360"/>
      </w:pPr>
      <w:rPr>
        <w:rFonts w:cs="Times New Roman"/>
      </w:rPr>
    </w:lvl>
    <w:lvl w:ilvl="4" w:tplc="04090019">
      <w:start w:val="1"/>
      <w:numFmt w:val="lowerLetter"/>
      <w:lvlText w:val="%5."/>
      <w:lvlJc w:val="left"/>
      <w:pPr>
        <w:tabs>
          <w:tab w:val="num" w:pos="4000"/>
        </w:tabs>
        <w:ind w:left="4000" w:hanging="360"/>
      </w:pPr>
      <w:rPr>
        <w:rFonts w:cs="Times New Roman"/>
      </w:rPr>
    </w:lvl>
    <w:lvl w:ilvl="5" w:tplc="0409001B">
      <w:start w:val="1"/>
      <w:numFmt w:val="lowerRoman"/>
      <w:lvlText w:val="%6."/>
      <w:lvlJc w:val="right"/>
      <w:pPr>
        <w:tabs>
          <w:tab w:val="num" w:pos="4720"/>
        </w:tabs>
        <w:ind w:left="4720" w:hanging="180"/>
      </w:pPr>
      <w:rPr>
        <w:rFonts w:cs="Times New Roman"/>
      </w:rPr>
    </w:lvl>
    <w:lvl w:ilvl="6" w:tplc="0409000F">
      <w:start w:val="1"/>
      <w:numFmt w:val="decimal"/>
      <w:lvlText w:val="%7."/>
      <w:lvlJc w:val="left"/>
      <w:pPr>
        <w:tabs>
          <w:tab w:val="num" w:pos="5440"/>
        </w:tabs>
        <w:ind w:left="5440" w:hanging="360"/>
      </w:pPr>
      <w:rPr>
        <w:rFonts w:cs="Times New Roman"/>
      </w:rPr>
    </w:lvl>
    <w:lvl w:ilvl="7" w:tplc="04090019">
      <w:start w:val="1"/>
      <w:numFmt w:val="lowerLetter"/>
      <w:lvlText w:val="%8."/>
      <w:lvlJc w:val="left"/>
      <w:pPr>
        <w:tabs>
          <w:tab w:val="num" w:pos="6160"/>
        </w:tabs>
        <w:ind w:left="6160" w:hanging="360"/>
      </w:pPr>
      <w:rPr>
        <w:rFonts w:cs="Times New Roman"/>
      </w:rPr>
    </w:lvl>
    <w:lvl w:ilvl="8" w:tplc="0409001B">
      <w:start w:val="1"/>
      <w:numFmt w:val="lowerRoman"/>
      <w:lvlText w:val="%9."/>
      <w:lvlJc w:val="right"/>
      <w:pPr>
        <w:tabs>
          <w:tab w:val="num" w:pos="6880"/>
        </w:tabs>
        <w:ind w:left="68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45"/>
    <w:rsid w:val="00001877"/>
    <w:rsid w:val="000217DA"/>
    <w:rsid w:val="00033B09"/>
    <w:rsid w:val="000425AD"/>
    <w:rsid w:val="0004669A"/>
    <w:rsid w:val="000473EE"/>
    <w:rsid w:val="00075D10"/>
    <w:rsid w:val="00081B80"/>
    <w:rsid w:val="00087612"/>
    <w:rsid w:val="0009251C"/>
    <w:rsid w:val="00095534"/>
    <w:rsid w:val="000A47FE"/>
    <w:rsid w:val="000E4496"/>
    <w:rsid w:val="000E47D0"/>
    <w:rsid w:val="000E7E9E"/>
    <w:rsid w:val="000F3085"/>
    <w:rsid w:val="001012C1"/>
    <w:rsid w:val="001325D8"/>
    <w:rsid w:val="00141607"/>
    <w:rsid w:val="001703C4"/>
    <w:rsid w:val="0017478E"/>
    <w:rsid w:val="001872D6"/>
    <w:rsid w:val="00194DB4"/>
    <w:rsid w:val="001B5E48"/>
    <w:rsid w:val="001E3684"/>
    <w:rsid w:val="0021322B"/>
    <w:rsid w:val="0021650C"/>
    <w:rsid w:val="00231DF6"/>
    <w:rsid w:val="0023401D"/>
    <w:rsid w:val="002472BB"/>
    <w:rsid w:val="002575D3"/>
    <w:rsid w:val="00260320"/>
    <w:rsid w:val="002631D8"/>
    <w:rsid w:val="002C2358"/>
    <w:rsid w:val="002C5D98"/>
    <w:rsid w:val="002D3A95"/>
    <w:rsid w:val="002D3DEB"/>
    <w:rsid w:val="002D3E27"/>
    <w:rsid w:val="002D7239"/>
    <w:rsid w:val="00310E27"/>
    <w:rsid w:val="00325097"/>
    <w:rsid w:val="003262D0"/>
    <w:rsid w:val="00350079"/>
    <w:rsid w:val="00350E4E"/>
    <w:rsid w:val="003551D1"/>
    <w:rsid w:val="00362463"/>
    <w:rsid w:val="003630B5"/>
    <w:rsid w:val="00366157"/>
    <w:rsid w:val="00382A13"/>
    <w:rsid w:val="0039554D"/>
    <w:rsid w:val="003D583B"/>
    <w:rsid w:val="004637E5"/>
    <w:rsid w:val="004724AE"/>
    <w:rsid w:val="0048451C"/>
    <w:rsid w:val="00486965"/>
    <w:rsid w:val="0049117A"/>
    <w:rsid w:val="004C649A"/>
    <w:rsid w:val="004F5C3E"/>
    <w:rsid w:val="00502A8E"/>
    <w:rsid w:val="005136C7"/>
    <w:rsid w:val="00520DB4"/>
    <w:rsid w:val="00521E9D"/>
    <w:rsid w:val="0054486E"/>
    <w:rsid w:val="0056024F"/>
    <w:rsid w:val="00571708"/>
    <w:rsid w:val="005855C3"/>
    <w:rsid w:val="00594285"/>
    <w:rsid w:val="005B7442"/>
    <w:rsid w:val="005C0BD1"/>
    <w:rsid w:val="005D5045"/>
    <w:rsid w:val="005E28CD"/>
    <w:rsid w:val="00612FF2"/>
    <w:rsid w:val="0062144D"/>
    <w:rsid w:val="00655BBC"/>
    <w:rsid w:val="00686542"/>
    <w:rsid w:val="00687157"/>
    <w:rsid w:val="00695784"/>
    <w:rsid w:val="006B6076"/>
    <w:rsid w:val="006C315D"/>
    <w:rsid w:val="006D3D7D"/>
    <w:rsid w:val="006F303D"/>
    <w:rsid w:val="00737DAE"/>
    <w:rsid w:val="0074526D"/>
    <w:rsid w:val="00752F0D"/>
    <w:rsid w:val="007530AB"/>
    <w:rsid w:val="00771BB6"/>
    <w:rsid w:val="00794814"/>
    <w:rsid w:val="007D65C5"/>
    <w:rsid w:val="007E3866"/>
    <w:rsid w:val="007E5E32"/>
    <w:rsid w:val="00801807"/>
    <w:rsid w:val="00817754"/>
    <w:rsid w:val="008301F9"/>
    <w:rsid w:val="0083660E"/>
    <w:rsid w:val="00836D35"/>
    <w:rsid w:val="00851AAB"/>
    <w:rsid w:val="008B232F"/>
    <w:rsid w:val="008B26E8"/>
    <w:rsid w:val="008B4E26"/>
    <w:rsid w:val="008B5A23"/>
    <w:rsid w:val="008C2BAE"/>
    <w:rsid w:val="008C5FEA"/>
    <w:rsid w:val="008D2608"/>
    <w:rsid w:val="008F38D2"/>
    <w:rsid w:val="00902BC4"/>
    <w:rsid w:val="00915020"/>
    <w:rsid w:val="00923A78"/>
    <w:rsid w:val="009279DE"/>
    <w:rsid w:val="009409E5"/>
    <w:rsid w:val="00945AF5"/>
    <w:rsid w:val="009612D5"/>
    <w:rsid w:val="00963A8B"/>
    <w:rsid w:val="0097447A"/>
    <w:rsid w:val="00984058"/>
    <w:rsid w:val="009F0F42"/>
    <w:rsid w:val="009F2A96"/>
    <w:rsid w:val="009F2CF6"/>
    <w:rsid w:val="009F6D31"/>
    <w:rsid w:val="00A0245C"/>
    <w:rsid w:val="00A05A7A"/>
    <w:rsid w:val="00A3541F"/>
    <w:rsid w:val="00A6334F"/>
    <w:rsid w:val="00AA2CBE"/>
    <w:rsid w:val="00AA7DBE"/>
    <w:rsid w:val="00AC6422"/>
    <w:rsid w:val="00AD2B31"/>
    <w:rsid w:val="00AF5487"/>
    <w:rsid w:val="00AF76C6"/>
    <w:rsid w:val="00B07510"/>
    <w:rsid w:val="00B61ED6"/>
    <w:rsid w:val="00B80F62"/>
    <w:rsid w:val="00B91372"/>
    <w:rsid w:val="00BB2FC1"/>
    <w:rsid w:val="00BD7B86"/>
    <w:rsid w:val="00BD7BD3"/>
    <w:rsid w:val="00C102EC"/>
    <w:rsid w:val="00C13B3F"/>
    <w:rsid w:val="00C17E99"/>
    <w:rsid w:val="00C414A8"/>
    <w:rsid w:val="00C53B85"/>
    <w:rsid w:val="00CA3795"/>
    <w:rsid w:val="00CB3555"/>
    <w:rsid w:val="00CC146D"/>
    <w:rsid w:val="00CC6725"/>
    <w:rsid w:val="00CD38CC"/>
    <w:rsid w:val="00D214FA"/>
    <w:rsid w:val="00D352C8"/>
    <w:rsid w:val="00D368E9"/>
    <w:rsid w:val="00D56260"/>
    <w:rsid w:val="00D71BA3"/>
    <w:rsid w:val="00D7498C"/>
    <w:rsid w:val="00D87ECE"/>
    <w:rsid w:val="00DA26BE"/>
    <w:rsid w:val="00DB402D"/>
    <w:rsid w:val="00DD0B55"/>
    <w:rsid w:val="00DE6755"/>
    <w:rsid w:val="00DF263C"/>
    <w:rsid w:val="00E01DFC"/>
    <w:rsid w:val="00E06918"/>
    <w:rsid w:val="00E15D9C"/>
    <w:rsid w:val="00E20601"/>
    <w:rsid w:val="00E21DD4"/>
    <w:rsid w:val="00E25FCE"/>
    <w:rsid w:val="00E63058"/>
    <w:rsid w:val="00EA4C4B"/>
    <w:rsid w:val="00ED43B3"/>
    <w:rsid w:val="00ED5880"/>
    <w:rsid w:val="00ED77F6"/>
    <w:rsid w:val="00EE1C01"/>
    <w:rsid w:val="00EE6A24"/>
    <w:rsid w:val="00F123F2"/>
    <w:rsid w:val="00F140E6"/>
    <w:rsid w:val="00F1692E"/>
    <w:rsid w:val="00F26449"/>
    <w:rsid w:val="00F407D1"/>
    <w:rsid w:val="00F67179"/>
    <w:rsid w:val="00F71BEA"/>
    <w:rsid w:val="00F838CA"/>
    <w:rsid w:val="00F91777"/>
    <w:rsid w:val="00FC6CE5"/>
    <w:rsid w:val="00FD0D96"/>
    <w:rsid w:val="00FE1E8C"/>
    <w:rsid w:val="00FE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79A0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sz w:val="24"/>
      <w:szCs w:val="24"/>
    </w:rPr>
  </w:style>
  <w:style w:type="paragraph" w:styleId="Heading1">
    <w:name w:val="heading 1"/>
    <w:basedOn w:val="Normal"/>
    <w:next w:val="Normal"/>
    <w:link w:val="Heading1Char"/>
    <w:uiPriority w:val="9"/>
    <w:qFormat/>
    <w:pPr>
      <w:keepNext/>
      <w:widowControl/>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CC"/>
    <w:rPr>
      <w:rFonts w:asciiTheme="majorHAnsi" w:eastAsiaTheme="majorEastAsia" w:hAnsiTheme="majorHAnsi" w:cstheme="majorBidi"/>
      <w:b/>
      <w:bCs/>
      <w:kern w:val="32"/>
      <w:sz w:val="32"/>
      <w:szCs w:val="32"/>
    </w:rPr>
  </w:style>
  <w:style w:type="paragraph" w:customStyle="1" w:styleId="TxBrp0">
    <w:name w:val="TxBr_p0"/>
    <w:basedOn w:val="Normal"/>
    <w:pPr>
      <w:tabs>
        <w:tab w:val="left" w:pos="204"/>
      </w:tabs>
      <w:spacing w:line="240" w:lineRule="atLeast"/>
      <w:jc w:val="both"/>
    </w:pPr>
  </w:style>
  <w:style w:type="paragraph" w:customStyle="1" w:styleId="TxBrc1">
    <w:name w:val="TxBr_c1"/>
    <w:basedOn w:val="Normal"/>
    <w:pPr>
      <w:spacing w:line="240" w:lineRule="atLeast"/>
      <w:jc w:val="center"/>
    </w:pPr>
  </w:style>
  <w:style w:type="paragraph" w:customStyle="1" w:styleId="TxBrp2">
    <w:name w:val="TxBr_p2"/>
    <w:basedOn w:val="Normal"/>
    <w:pPr>
      <w:tabs>
        <w:tab w:val="left" w:pos="702"/>
      </w:tabs>
      <w:spacing w:line="240" w:lineRule="atLeast"/>
      <w:ind w:left="481"/>
    </w:pPr>
  </w:style>
  <w:style w:type="paragraph" w:customStyle="1" w:styleId="TxBrp3">
    <w:name w:val="TxBr_p3"/>
    <w:basedOn w:val="Normal"/>
    <w:pPr>
      <w:tabs>
        <w:tab w:val="left" w:pos="759"/>
      </w:tabs>
      <w:spacing w:line="572" w:lineRule="atLeast"/>
      <w:ind w:firstLine="760"/>
    </w:pPr>
  </w:style>
  <w:style w:type="paragraph" w:customStyle="1" w:styleId="TxBrp4">
    <w:name w:val="TxBr_p4"/>
    <w:basedOn w:val="Normal"/>
    <w:pPr>
      <w:tabs>
        <w:tab w:val="left" w:pos="759"/>
        <w:tab w:val="left" w:pos="1122"/>
      </w:tabs>
      <w:spacing w:line="240" w:lineRule="atLeast"/>
      <w:ind w:left="1123" w:hanging="363"/>
    </w:pPr>
  </w:style>
  <w:style w:type="paragraph" w:customStyle="1" w:styleId="TxBrc5">
    <w:name w:val="TxBr_c5"/>
    <w:basedOn w:val="Normal"/>
    <w:pPr>
      <w:spacing w:line="240" w:lineRule="atLeast"/>
      <w:jc w:val="center"/>
    </w:pPr>
  </w:style>
  <w:style w:type="paragraph" w:customStyle="1" w:styleId="TxBrp6">
    <w:name w:val="TxBr_p6"/>
    <w:basedOn w:val="Normal"/>
    <w:pPr>
      <w:tabs>
        <w:tab w:val="left" w:pos="759"/>
      </w:tabs>
      <w:spacing w:line="572" w:lineRule="atLeast"/>
      <w:ind w:firstLine="760"/>
      <w:jc w:val="both"/>
    </w:pPr>
  </w:style>
  <w:style w:type="paragraph" w:customStyle="1" w:styleId="TxBrp7">
    <w:name w:val="TxBr_p7"/>
    <w:basedOn w:val="Normal"/>
    <w:pPr>
      <w:tabs>
        <w:tab w:val="left" w:pos="702"/>
      </w:tabs>
      <w:spacing w:line="578" w:lineRule="atLeast"/>
      <w:ind w:firstLine="703"/>
      <w:jc w:val="both"/>
    </w:pPr>
  </w:style>
  <w:style w:type="paragraph" w:customStyle="1" w:styleId="TxBrc8">
    <w:name w:val="TxBr_c8"/>
    <w:basedOn w:val="Normal"/>
    <w:pPr>
      <w:spacing w:line="240" w:lineRule="atLeast"/>
      <w:jc w:val="center"/>
    </w:pPr>
  </w:style>
  <w:style w:type="paragraph" w:customStyle="1" w:styleId="TxBrc9">
    <w:name w:val="TxBr_c9"/>
    <w:basedOn w:val="Normal"/>
    <w:pPr>
      <w:spacing w:line="240" w:lineRule="atLeast"/>
      <w:jc w:val="center"/>
    </w:pPr>
  </w:style>
  <w:style w:type="paragraph" w:customStyle="1" w:styleId="TxBrp10">
    <w:name w:val="TxBr_p10"/>
    <w:basedOn w:val="Normal"/>
    <w:pPr>
      <w:tabs>
        <w:tab w:val="left" w:pos="204"/>
      </w:tabs>
      <w:spacing w:line="240" w:lineRule="atLeast"/>
    </w:pPr>
  </w:style>
  <w:style w:type="paragraph" w:customStyle="1" w:styleId="TxBrp11">
    <w:name w:val="TxBr_p11"/>
    <w:basedOn w:val="Normal"/>
    <w:pPr>
      <w:tabs>
        <w:tab w:val="left" w:pos="204"/>
      </w:tabs>
      <w:spacing w:line="240" w:lineRule="atLeast"/>
    </w:pPr>
  </w:style>
  <w:style w:type="paragraph" w:customStyle="1" w:styleId="TxBrp12">
    <w:name w:val="TxBr_p12"/>
    <w:basedOn w:val="Normal"/>
    <w:pPr>
      <w:tabs>
        <w:tab w:val="left" w:pos="1122"/>
      </w:tabs>
      <w:spacing w:line="240" w:lineRule="atLeast"/>
      <w:ind w:left="61"/>
    </w:pPr>
  </w:style>
  <w:style w:type="paragraph" w:customStyle="1" w:styleId="TxBrc13">
    <w:name w:val="TxBr_c13"/>
    <w:basedOn w:val="Normal"/>
    <w:pPr>
      <w:spacing w:line="240" w:lineRule="atLeast"/>
      <w:jc w:val="center"/>
    </w:pPr>
  </w:style>
  <w:style w:type="paragraph" w:customStyle="1" w:styleId="TxBrp14">
    <w:name w:val="TxBr_p14"/>
    <w:basedOn w:val="Normal"/>
    <w:pPr>
      <w:tabs>
        <w:tab w:val="left" w:pos="725"/>
      </w:tabs>
      <w:spacing w:line="240" w:lineRule="atLeast"/>
      <w:ind w:left="458"/>
    </w:pPr>
  </w:style>
  <w:style w:type="paragraph" w:customStyle="1" w:styleId="TxBrp15">
    <w:name w:val="TxBr_p15"/>
    <w:basedOn w:val="Normal"/>
    <w:pPr>
      <w:tabs>
        <w:tab w:val="left" w:pos="204"/>
      </w:tabs>
      <w:spacing w:line="266" w:lineRule="atLeast"/>
    </w:pPr>
  </w:style>
  <w:style w:type="paragraph" w:customStyle="1" w:styleId="TxBrc16">
    <w:name w:val="TxBr_c16"/>
    <w:basedOn w:val="Normal"/>
    <w:pPr>
      <w:spacing w:line="240" w:lineRule="atLeast"/>
      <w:jc w:val="center"/>
    </w:pPr>
  </w:style>
  <w:style w:type="paragraph" w:customStyle="1" w:styleId="TxBrp17">
    <w:name w:val="TxBr_p17"/>
    <w:basedOn w:val="Normal"/>
    <w:pPr>
      <w:tabs>
        <w:tab w:val="left" w:pos="725"/>
      </w:tabs>
      <w:spacing w:line="572" w:lineRule="atLeast"/>
      <w:ind w:firstLine="726"/>
      <w:jc w:val="both"/>
    </w:pPr>
  </w:style>
  <w:style w:type="paragraph" w:customStyle="1" w:styleId="TxBrp18">
    <w:name w:val="TxBr_p18"/>
    <w:basedOn w:val="Normal"/>
    <w:pPr>
      <w:tabs>
        <w:tab w:val="left" w:pos="204"/>
      </w:tabs>
      <w:spacing w:line="572" w:lineRule="atLeast"/>
      <w:jc w:val="both"/>
    </w:pPr>
  </w:style>
  <w:style w:type="paragraph" w:customStyle="1" w:styleId="TxBrt19">
    <w:name w:val="TxBr_t19"/>
    <w:basedOn w:val="Normal"/>
    <w:pPr>
      <w:spacing w:line="277" w:lineRule="atLeast"/>
    </w:pPr>
  </w:style>
  <w:style w:type="paragraph" w:customStyle="1" w:styleId="TxBrt20">
    <w:name w:val="TxBr_t20"/>
    <w:basedOn w:val="Normal"/>
    <w:pPr>
      <w:spacing w:line="266" w:lineRule="atLeast"/>
    </w:pPr>
  </w:style>
  <w:style w:type="paragraph" w:customStyle="1" w:styleId="TxBrp21">
    <w:name w:val="TxBr_p21"/>
    <w:basedOn w:val="Normal"/>
    <w:pPr>
      <w:tabs>
        <w:tab w:val="left" w:pos="3582"/>
      </w:tabs>
      <w:spacing w:line="240" w:lineRule="atLeast"/>
      <w:ind w:left="2399"/>
    </w:pPr>
  </w:style>
  <w:style w:type="paragraph" w:customStyle="1" w:styleId="TxBrp22">
    <w:name w:val="TxBr_p22"/>
    <w:basedOn w:val="Normal"/>
    <w:pPr>
      <w:tabs>
        <w:tab w:val="left" w:pos="725"/>
      </w:tabs>
      <w:spacing w:line="572" w:lineRule="atLeast"/>
      <w:ind w:firstLine="726"/>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330ACC"/>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330ACC"/>
    <w:rPr>
      <w:sz w:val="24"/>
      <w:szCs w:val="24"/>
    </w:rPr>
  </w:style>
  <w:style w:type="character" w:styleId="PageNumber">
    <w:name w:val="page number"/>
    <w:basedOn w:val="DefaultParagraphFont"/>
    <w:uiPriority w:val="99"/>
  </w:style>
  <w:style w:type="paragraph" w:styleId="BodyText2">
    <w:name w:val="Body Text 2"/>
    <w:basedOn w:val="Normal"/>
    <w:link w:val="BodyText2Char"/>
    <w:uiPriority w:val="99"/>
    <w:pPr>
      <w:widowControl/>
      <w:autoSpaceDE/>
      <w:autoSpaceDN/>
    </w:pPr>
    <w:rPr>
      <w:rFonts w:ascii="Arial" w:hAnsi="Arial" w:cs="Arial"/>
    </w:rPr>
  </w:style>
  <w:style w:type="character" w:customStyle="1" w:styleId="BodyText2Char">
    <w:name w:val="Body Text 2 Char"/>
    <w:basedOn w:val="DefaultParagraphFont"/>
    <w:link w:val="BodyText2"/>
    <w:uiPriority w:val="99"/>
    <w:semiHidden/>
    <w:rsid w:val="00330ACC"/>
    <w:rPr>
      <w:sz w:val="24"/>
      <w:szCs w:val="24"/>
    </w:rPr>
  </w:style>
  <w:style w:type="paragraph" w:styleId="BodyText">
    <w:name w:val="Body Text"/>
    <w:basedOn w:val="Normal"/>
    <w:link w:val="BodyTextChar"/>
    <w:uiPriority w:val="99"/>
    <w:pPr>
      <w:jc w:val="both"/>
    </w:pPr>
    <w:rPr>
      <w:sz w:val="20"/>
      <w:szCs w:val="20"/>
    </w:rPr>
  </w:style>
  <w:style w:type="character" w:customStyle="1" w:styleId="BodyTextChar">
    <w:name w:val="Body Text Char"/>
    <w:basedOn w:val="DefaultParagraphFont"/>
    <w:link w:val="BodyText"/>
    <w:uiPriority w:val="99"/>
    <w:semiHidden/>
    <w:rsid w:val="00330ACC"/>
    <w:rPr>
      <w:sz w:val="24"/>
      <w:szCs w:val="24"/>
    </w:rPr>
  </w:style>
  <w:style w:type="table" w:styleId="TableGrid">
    <w:name w:val="Table Grid"/>
    <w:basedOn w:val="TableNormal"/>
    <w:uiPriority w:val="59"/>
    <w:rsid w:val="008B26E8"/>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75D10"/>
    <w:rPr>
      <w:rFonts w:ascii="Tahoma" w:hAnsi="Tahoma" w:cs="Tahoma"/>
      <w:sz w:val="16"/>
      <w:szCs w:val="16"/>
    </w:rPr>
  </w:style>
  <w:style w:type="character" w:customStyle="1" w:styleId="BalloonTextChar">
    <w:name w:val="Balloon Text Char"/>
    <w:basedOn w:val="DefaultParagraphFont"/>
    <w:link w:val="BalloonText"/>
    <w:uiPriority w:val="99"/>
    <w:semiHidden/>
    <w:rsid w:val="00330ACC"/>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sz w:val="24"/>
      <w:szCs w:val="24"/>
    </w:rPr>
  </w:style>
  <w:style w:type="paragraph" w:styleId="Heading1">
    <w:name w:val="heading 1"/>
    <w:basedOn w:val="Normal"/>
    <w:next w:val="Normal"/>
    <w:link w:val="Heading1Char"/>
    <w:uiPriority w:val="9"/>
    <w:qFormat/>
    <w:pPr>
      <w:keepNext/>
      <w:widowControl/>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CC"/>
    <w:rPr>
      <w:rFonts w:asciiTheme="majorHAnsi" w:eastAsiaTheme="majorEastAsia" w:hAnsiTheme="majorHAnsi" w:cstheme="majorBidi"/>
      <w:b/>
      <w:bCs/>
      <w:kern w:val="32"/>
      <w:sz w:val="32"/>
      <w:szCs w:val="32"/>
    </w:rPr>
  </w:style>
  <w:style w:type="paragraph" w:customStyle="1" w:styleId="TxBrp0">
    <w:name w:val="TxBr_p0"/>
    <w:basedOn w:val="Normal"/>
    <w:pPr>
      <w:tabs>
        <w:tab w:val="left" w:pos="204"/>
      </w:tabs>
      <w:spacing w:line="240" w:lineRule="atLeast"/>
      <w:jc w:val="both"/>
    </w:pPr>
  </w:style>
  <w:style w:type="paragraph" w:customStyle="1" w:styleId="TxBrc1">
    <w:name w:val="TxBr_c1"/>
    <w:basedOn w:val="Normal"/>
    <w:pPr>
      <w:spacing w:line="240" w:lineRule="atLeast"/>
      <w:jc w:val="center"/>
    </w:pPr>
  </w:style>
  <w:style w:type="paragraph" w:customStyle="1" w:styleId="TxBrp2">
    <w:name w:val="TxBr_p2"/>
    <w:basedOn w:val="Normal"/>
    <w:pPr>
      <w:tabs>
        <w:tab w:val="left" w:pos="702"/>
      </w:tabs>
      <w:spacing w:line="240" w:lineRule="atLeast"/>
      <w:ind w:left="481"/>
    </w:pPr>
  </w:style>
  <w:style w:type="paragraph" w:customStyle="1" w:styleId="TxBrp3">
    <w:name w:val="TxBr_p3"/>
    <w:basedOn w:val="Normal"/>
    <w:pPr>
      <w:tabs>
        <w:tab w:val="left" w:pos="759"/>
      </w:tabs>
      <w:spacing w:line="572" w:lineRule="atLeast"/>
      <w:ind w:firstLine="760"/>
    </w:pPr>
  </w:style>
  <w:style w:type="paragraph" w:customStyle="1" w:styleId="TxBrp4">
    <w:name w:val="TxBr_p4"/>
    <w:basedOn w:val="Normal"/>
    <w:pPr>
      <w:tabs>
        <w:tab w:val="left" w:pos="759"/>
        <w:tab w:val="left" w:pos="1122"/>
      </w:tabs>
      <w:spacing w:line="240" w:lineRule="atLeast"/>
      <w:ind w:left="1123" w:hanging="363"/>
    </w:pPr>
  </w:style>
  <w:style w:type="paragraph" w:customStyle="1" w:styleId="TxBrc5">
    <w:name w:val="TxBr_c5"/>
    <w:basedOn w:val="Normal"/>
    <w:pPr>
      <w:spacing w:line="240" w:lineRule="atLeast"/>
      <w:jc w:val="center"/>
    </w:pPr>
  </w:style>
  <w:style w:type="paragraph" w:customStyle="1" w:styleId="TxBrp6">
    <w:name w:val="TxBr_p6"/>
    <w:basedOn w:val="Normal"/>
    <w:pPr>
      <w:tabs>
        <w:tab w:val="left" w:pos="759"/>
      </w:tabs>
      <w:spacing w:line="572" w:lineRule="atLeast"/>
      <w:ind w:firstLine="760"/>
      <w:jc w:val="both"/>
    </w:pPr>
  </w:style>
  <w:style w:type="paragraph" w:customStyle="1" w:styleId="TxBrp7">
    <w:name w:val="TxBr_p7"/>
    <w:basedOn w:val="Normal"/>
    <w:pPr>
      <w:tabs>
        <w:tab w:val="left" w:pos="702"/>
      </w:tabs>
      <w:spacing w:line="578" w:lineRule="atLeast"/>
      <w:ind w:firstLine="703"/>
      <w:jc w:val="both"/>
    </w:pPr>
  </w:style>
  <w:style w:type="paragraph" w:customStyle="1" w:styleId="TxBrc8">
    <w:name w:val="TxBr_c8"/>
    <w:basedOn w:val="Normal"/>
    <w:pPr>
      <w:spacing w:line="240" w:lineRule="atLeast"/>
      <w:jc w:val="center"/>
    </w:pPr>
  </w:style>
  <w:style w:type="paragraph" w:customStyle="1" w:styleId="TxBrc9">
    <w:name w:val="TxBr_c9"/>
    <w:basedOn w:val="Normal"/>
    <w:pPr>
      <w:spacing w:line="240" w:lineRule="atLeast"/>
      <w:jc w:val="center"/>
    </w:pPr>
  </w:style>
  <w:style w:type="paragraph" w:customStyle="1" w:styleId="TxBrp10">
    <w:name w:val="TxBr_p10"/>
    <w:basedOn w:val="Normal"/>
    <w:pPr>
      <w:tabs>
        <w:tab w:val="left" w:pos="204"/>
      </w:tabs>
      <w:spacing w:line="240" w:lineRule="atLeast"/>
    </w:pPr>
  </w:style>
  <w:style w:type="paragraph" w:customStyle="1" w:styleId="TxBrp11">
    <w:name w:val="TxBr_p11"/>
    <w:basedOn w:val="Normal"/>
    <w:pPr>
      <w:tabs>
        <w:tab w:val="left" w:pos="204"/>
      </w:tabs>
      <w:spacing w:line="240" w:lineRule="atLeast"/>
    </w:pPr>
  </w:style>
  <w:style w:type="paragraph" w:customStyle="1" w:styleId="TxBrp12">
    <w:name w:val="TxBr_p12"/>
    <w:basedOn w:val="Normal"/>
    <w:pPr>
      <w:tabs>
        <w:tab w:val="left" w:pos="1122"/>
      </w:tabs>
      <w:spacing w:line="240" w:lineRule="atLeast"/>
      <w:ind w:left="61"/>
    </w:pPr>
  </w:style>
  <w:style w:type="paragraph" w:customStyle="1" w:styleId="TxBrc13">
    <w:name w:val="TxBr_c13"/>
    <w:basedOn w:val="Normal"/>
    <w:pPr>
      <w:spacing w:line="240" w:lineRule="atLeast"/>
      <w:jc w:val="center"/>
    </w:pPr>
  </w:style>
  <w:style w:type="paragraph" w:customStyle="1" w:styleId="TxBrp14">
    <w:name w:val="TxBr_p14"/>
    <w:basedOn w:val="Normal"/>
    <w:pPr>
      <w:tabs>
        <w:tab w:val="left" w:pos="725"/>
      </w:tabs>
      <w:spacing w:line="240" w:lineRule="atLeast"/>
      <w:ind w:left="458"/>
    </w:pPr>
  </w:style>
  <w:style w:type="paragraph" w:customStyle="1" w:styleId="TxBrp15">
    <w:name w:val="TxBr_p15"/>
    <w:basedOn w:val="Normal"/>
    <w:pPr>
      <w:tabs>
        <w:tab w:val="left" w:pos="204"/>
      </w:tabs>
      <w:spacing w:line="266" w:lineRule="atLeast"/>
    </w:pPr>
  </w:style>
  <w:style w:type="paragraph" w:customStyle="1" w:styleId="TxBrc16">
    <w:name w:val="TxBr_c16"/>
    <w:basedOn w:val="Normal"/>
    <w:pPr>
      <w:spacing w:line="240" w:lineRule="atLeast"/>
      <w:jc w:val="center"/>
    </w:pPr>
  </w:style>
  <w:style w:type="paragraph" w:customStyle="1" w:styleId="TxBrp17">
    <w:name w:val="TxBr_p17"/>
    <w:basedOn w:val="Normal"/>
    <w:pPr>
      <w:tabs>
        <w:tab w:val="left" w:pos="725"/>
      </w:tabs>
      <w:spacing w:line="572" w:lineRule="atLeast"/>
      <w:ind w:firstLine="726"/>
      <w:jc w:val="both"/>
    </w:pPr>
  </w:style>
  <w:style w:type="paragraph" w:customStyle="1" w:styleId="TxBrp18">
    <w:name w:val="TxBr_p18"/>
    <w:basedOn w:val="Normal"/>
    <w:pPr>
      <w:tabs>
        <w:tab w:val="left" w:pos="204"/>
      </w:tabs>
      <w:spacing w:line="572" w:lineRule="atLeast"/>
      <w:jc w:val="both"/>
    </w:pPr>
  </w:style>
  <w:style w:type="paragraph" w:customStyle="1" w:styleId="TxBrt19">
    <w:name w:val="TxBr_t19"/>
    <w:basedOn w:val="Normal"/>
    <w:pPr>
      <w:spacing w:line="277" w:lineRule="atLeast"/>
    </w:pPr>
  </w:style>
  <w:style w:type="paragraph" w:customStyle="1" w:styleId="TxBrt20">
    <w:name w:val="TxBr_t20"/>
    <w:basedOn w:val="Normal"/>
    <w:pPr>
      <w:spacing w:line="266" w:lineRule="atLeast"/>
    </w:pPr>
  </w:style>
  <w:style w:type="paragraph" w:customStyle="1" w:styleId="TxBrp21">
    <w:name w:val="TxBr_p21"/>
    <w:basedOn w:val="Normal"/>
    <w:pPr>
      <w:tabs>
        <w:tab w:val="left" w:pos="3582"/>
      </w:tabs>
      <w:spacing w:line="240" w:lineRule="atLeast"/>
      <w:ind w:left="2399"/>
    </w:pPr>
  </w:style>
  <w:style w:type="paragraph" w:customStyle="1" w:styleId="TxBrp22">
    <w:name w:val="TxBr_p22"/>
    <w:basedOn w:val="Normal"/>
    <w:pPr>
      <w:tabs>
        <w:tab w:val="left" w:pos="725"/>
      </w:tabs>
      <w:spacing w:line="572" w:lineRule="atLeast"/>
      <w:ind w:firstLine="726"/>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330ACC"/>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330ACC"/>
    <w:rPr>
      <w:sz w:val="24"/>
      <w:szCs w:val="24"/>
    </w:rPr>
  </w:style>
  <w:style w:type="character" w:styleId="PageNumber">
    <w:name w:val="page number"/>
    <w:basedOn w:val="DefaultParagraphFont"/>
    <w:uiPriority w:val="99"/>
  </w:style>
  <w:style w:type="paragraph" w:styleId="BodyText2">
    <w:name w:val="Body Text 2"/>
    <w:basedOn w:val="Normal"/>
    <w:link w:val="BodyText2Char"/>
    <w:uiPriority w:val="99"/>
    <w:pPr>
      <w:widowControl/>
      <w:autoSpaceDE/>
      <w:autoSpaceDN/>
    </w:pPr>
    <w:rPr>
      <w:rFonts w:ascii="Arial" w:hAnsi="Arial" w:cs="Arial"/>
    </w:rPr>
  </w:style>
  <w:style w:type="character" w:customStyle="1" w:styleId="BodyText2Char">
    <w:name w:val="Body Text 2 Char"/>
    <w:basedOn w:val="DefaultParagraphFont"/>
    <w:link w:val="BodyText2"/>
    <w:uiPriority w:val="99"/>
    <w:semiHidden/>
    <w:rsid w:val="00330ACC"/>
    <w:rPr>
      <w:sz w:val="24"/>
      <w:szCs w:val="24"/>
    </w:rPr>
  </w:style>
  <w:style w:type="paragraph" w:styleId="BodyText">
    <w:name w:val="Body Text"/>
    <w:basedOn w:val="Normal"/>
    <w:link w:val="BodyTextChar"/>
    <w:uiPriority w:val="99"/>
    <w:pPr>
      <w:jc w:val="both"/>
    </w:pPr>
    <w:rPr>
      <w:sz w:val="20"/>
      <w:szCs w:val="20"/>
    </w:rPr>
  </w:style>
  <w:style w:type="character" w:customStyle="1" w:styleId="BodyTextChar">
    <w:name w:val="Body Text Char"/>
    <w:basedOn w:val="DefaultParagraphFont"/>
    <w:link w:val="BodyText"/>
    <w:uiPriority w:val="99"/>
    <w:semiHidden/>
    <w:rsid w:val="00330ACC"/>
    <w:rPr>
      <w:sz w:val="24"/>
      <w:szCs w:val="24"/>
    </w:rPr>
  </w:style>
  <w:style w:type="table" w:styleId="TableGrid">
    <w:name w:val="Table Grid"/>
    <w:basedOn w:val="TableNormal"/>
    <w:uiPriority w:val="59"/>
    <w:rsid w:val="008B26E8"/>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75D10"/>
    <w:rPr>
      <w:rFonts w:ascii="Tahoma" w:hAnsi="Tahoma" w:cs="Tahoma"/>
      <w:sz w:val="16"/>
      <w:szCs w:val="16"/>
    </w:rPr>
  </w:style>
  <w:style w:type="character" w:customStyle="1" w:styleId="BalloonTextChar">
    <w:name w:val="Balloon Text Char"/>
    <w:basedOn w:val="DefaultParagraphFont"/>
    <w:link w:val="BalloonText"/>
    <w:uiPriority w:val="99"/>
    <w:semiHidden/>
    <w:rsid w:val="00330AC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9043">
      <w:bodyDiv w:val="1"/>
      <w:marLeft w:val="0"/>
      <w:marRight w:val="0"/>
      <w:marTop w:val="0"/>
      <w:marBottom w:val="0"/>
      <w:divBdr>
        <w:top w:val="none" w:sz="0" w:space="0" w:color="auto"/>
        <w:left w:val="none" w:sz="0" w:space="0" w:color="auto"/>
        <w:bottom w:val="none" w:sz="0" w:space="0" w:color="auto"/>
        <w:right w:val="none" w:sz="0" w:space="0" w:color="auto"/>
      </w:divBdr>
    </w:div>
    <w:div w:id="1860852260">
      <w:marLeft w:val="0"/>
      <w:marRight w:val="0"/>
      <w:marTop w:val="0"/>
      <w:marBottom w:val="0"/>
      <w:divBdr>
        <w:top w:val="none" w:sz="0" w:space="0" w:color="auto"/>
        <w:left w:val="none" w:sz="0" w:space="0" w:color="auto"/>
        <w:bottom w:val="none" w:sz="0" w:space="0" w:color="auto"/>
        <w:right w:val="none" w:sz="0" w:space="0" w:color="auto"/>
      </w:divBdr>
    </w:div>
    <w:div w:id="18608522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Alton J. Bostick, Jr.</dc:creator>
  <cp:lastModifiedBy>ITAdmin</cp:lastModifiedBy>
  <cp:revision>8</cp:revision>
  <cp:lastPrinted>2017-08-23T22:45:00Z</cp:lastPrinted>
  <dcterms:created xsi:type="dcterms:W3CDTF">2017-08-23T21:37:00Z</dcterms:created>
  <dcterms:modified xsi:type="dcterms:W3CDTF">2017-08-23T22:47:00Z</dcterms:modified>
</cp:coreProperties>
</file>